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考核加分项目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一、获奖证书的时限：自</w:t>
      </w:r>
      <w:r>
        <w:rPr>
          <w:rFonts w:ascii="仿宋_GB2312" w:eastAsia="仿宋_GB2312"/>
          <w:color w:val="000000"/>
          <w:sz w:val="32"/>
          <w:szCs w:val="32"/>
        </w:rPr>
        <w:t>2010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日起至</w:t>
      </w:r>
      <w:r>
        <w:rPr>
          <w:rFonts w:ascii="仿宋_GB2312" w:eastAsia="仿宋_GB2312"/>
          <w:color w:val="000000"/>
          <w:sz w:val="32"/>
          <w:szCs w:val="32"/>
        </w:rPr>
        <w:t>2016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日止。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二、按下列类别对照加分：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县级学科带头人、骨干教师，分别加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分、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昆明市学科带头人、骨干教师，分别加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分、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省级学科带头人、骨干教师，分别加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分、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以上三项得分就高不就低，不累计加分。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．县级奖：获得县委、县人民政府颁发的教育教学质量奖每本加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分（当年的光荣册内）；县委、县人民政府颁发的其它奖项，每本加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分。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．市级奖：获得市委、市政府颁发的奖项，每本加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分；获得市教育局表彰的优秀教师、优秀教育工作者、优秀班主任、先进德育工作者，每本加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分；获得市教育局颁发的其它奖项每本加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分。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．省级奖：获得省委、省政府颁发的奖项，每本加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分；获得省教育厅表彰的优秀教师、优秀教育工作者、优秀班主任、先进德育工作者，每本加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分；获得省教育厅颁发的其它奖项每本加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分。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．国家级奖：获得国务院颁发的奖项，每本加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分；获得教育部表彰的优秀教师、优秀教育工作者、优秀班主任、先进德育工作者每本加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分；获得教育部颁发的其它奖项每本加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8.</w:t>
      </w:r>
      <w:r>
        <w:rPr>
          <w:rFonts w:hint="eastAsia" w:ascii="仿宋_GB2312" w:eastAsia="仿宋_GB2312"/>
          <w:color w:val="000000"/>
          <w:sz w:val="32"/>
          <w:szCs w:val="32"/>
        </w:rPr>
        <w:t>获县教育局各项表彰每本加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分；乡镇其他表彰，每次加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9.</w:t>
      </w:r>
      <w:r>
        <w:rPr>
          <w:rFonts w:hint="eastAsia" w:ascii="仿宋_GB2312" w:eastAsia="仿宋_GB2312"/>
          <w:color w:val="000000"/>
          <w:sz w:val="32"/>
          <w:szCs w:val="32"/>
        </w:rPr>
        <w:t>获各类学科学生竞赛辅导奖，国家级每次加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分、省级每次加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分、地（州市）级每次加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分、县级每次加</w:t>
      </w:r>
      <w:r>
        <w:rPr>
          <w:rFonts w:ascii="仿宋_GB2312" w:eastAsia="仿宋_GB2312"/>
          <w:color w:val="000000"/>
          <w:sz w:val="32"/>
          <w:szCs w:val="32"/>
        </w:rPr>
        <w:t>0.5</w:t>
      </w:r>
      <w:r>
        <w:rPr>
          <w:rFonts w:hint="eastAsia" w:ascii="仿宋_GB2312" w:eastAsia="仿宋_GB2312"/>
          <w:color w:val="000000"/>
          <w:sz w:val="32"/>
          <w:szCs w:val="32"/>
        </w:rPr>
        <w:t>分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上述各级各类奖项以落款部门及印章为准。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/>
    </w:p>
    <w:p>
      <w:pPr/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588" w:right="1474" w:bottom="1474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 \* MERGEFORMAT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-</w:t>
    </w:r>
    <w:r>
      <w:rPr>
        <w:rFonts w:ascii="仿宋_GB2312" w:eastAsia="仿宋_GB2312"/>
        <w:sz w:val="30"/>
        <w:szCs w:val="30"/>
      </w:rPr>
      <w:t xml:space="preserve"> 3 -</w:t>
    </w:r>
    <w:r>
      <w:rPr>
        <w:rFonts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 \* MERGEFORMAT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-</w:t>
    </w:r>
    <w:r>
      <w:rPr>
        <w:rFonts w:ascii="仿宋_GB2312" w:eastAsia="仿宋_GB2312"/>
        <w:sz w:val="30"/>
        <w:szCs w:val="30"/>
      </w:rPr>
      <w:t xml:space="preserve"> 2 -</w:t>
    </w:r>
    <w:r>
      <w:rPr>
        <w:rFonts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 \* MERGEFORMAT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-</w:t>
    </w:r>
    <w:r>
      <w:rPr>
        <w:rFonts w:ascii="仿宋_GB2312" w:eastAsia="仿宋_GB2312"/>
        <w:sz w:val="30"/>
        <w:szCs w:val="30"/>
      </w:rPr>
      <w:t xml:space="preserve"> 1 -</w:t>
    </w:r>
    <w:r>
      <w:rPr>
        <w:rFonts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A5EE7"/>
    <w:rsid w:val="78EA5E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2016-07-15T09:55:00Z</dcterms:created>
  <dc:creator>video</dc:creator>
  <cp:lastModifiedBy>video</cp:lastModifiedBy>
  <dcterms:modified xsi:type="dcterms:W3CDTF">2016-07-15T09:56:15Z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