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ED" w:rsidRPr="005F12ED" w:rsidRDefault="005F12ED" w:rsidP="005F12ED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021"/>
        <w:gridCol w:w="485"/>
        <w:gridCol w:w="651"/>
        <w:gridCol w:w="1033"/>
        <w:gridCol w:w="1815"/>
        <w:gridCol w:w="2106"/>
        <w:gridCol w:w="626"/>
      </w:tblGrid>
      <w:tr w:rsidR="005F12ED" w:rsidRPr="005F12ED" w:rsidTr="005F12E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电子商务教师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本科或研究生阶段为电子商务类专业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网络营销、电子商务管理、移动电子商务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非博士须有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年以上教学或相关行业从业经验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科研能力强优先考虑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网络经济与金融教师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本科或研究生阶段为电子商务类专业或金融专业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网络经济学、网络金融学、电子支付与结算、互联网金融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非博士须有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年以上教学或相关行业从业经验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科研能力强优先考虑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计算机应用教师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本科或研究生阶段为计算机应用类专业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Java企业级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Web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应用技术、计算机网络技术、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Web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开发技术（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PHP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、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JSP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）、数据仓库与挖掘、移动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Web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应用开发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非博士须有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年以上教学或相关行业从业经验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须提供本科和研究生阶段的成绩单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工商管理教师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博士硕士阶段为企业管理相关专业方向，本科为工商管理者优先考虑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服务管理、财务报告分析、管理学前沿讲座、商业伦理与企业社会责任、员工关系管理、薪酬管理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有教学经验或实务工作经验，具备良好的科研能力且已取得较丰硕的成果者优先考虑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项目管理教师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博士硕士阶段须为项目管理相关专业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项目成本管理、项目沟通、项目投资策划、项目管理软件应用、项目管理案例分析、文化项目策划与管理、软件项目管理、文化市场营销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非博士者须有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3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年以上项目管理经验或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2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</w:rPr>
              <w:t>年以上教学经验具备良好的科研能力且已取得较丰硕的成果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旅游管理教师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博士或优秀硕士或具有副高级以上职称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研究生阶段为旅游管理专业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国际酒店集团管理、会展策划与营销、节事活动策划与管理、旅游电子商务、现代休闲产业管理、服务管理、跨文化交流、服务礼仪等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有丰富的教学经验或实务工作经验（优秀硕士须有</w:t>
            </w:r>
            <w:r w:rsidRPr="005F12ED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年以上经验）；具备良好的科研能力且已取得较丰硕的成果；在酒店国际化与连锁化管理、新兴旅游业态与技术、现代休闲管理、会展经济等方面有丰富经验者优先考虑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物流管理教师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经济学、管理学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物流管理、供应链管理、商务模式创新、项目管理、企业运营管理、管理决策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物流工程教师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博士或副高级以上</w:t>
            </w: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物流工程、工业工程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质量管理、项目管理</w:t>
            </w:r>
          </w:p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物流工程、物流管理信息系统、物联网、供应链管理、仿真类课程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5F12ED" w:rsidRPr="005F12ED" w:rsidTr="005F12E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计算机编程教师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MNM1609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应用数学、计算机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物联网、仿真、库存管理系统设计、物流管理信息系统设计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2ED" w:rsidRPr="005F12ED" w:rsidRDefault="005F12ED" w:rsidP="005F12ED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12ED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</w:tbl>
    <w:p w:rsidR="003D498A" w:rsidRDefault="003D498A"/>
    <w:sectPr w:rsidR="003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F6"/>
    <w:rsid w:val="001B72F6"/>
    <w:rsid w:val="003D498A"/>
    <w:rsid w:val="005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C369B-2651-440E-9C07-07C23F37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12ED"/>
    <w:rPr>
      <w:b/>
      <w:bCs/>
    </w:rPr>
  </w:style>
  <w:style w:type="character" w:customStyle="1" w:styleId="apple-converted-space">
    <w:name w:val="apple-converted-space"/>
    <w:basedOn w:val="a0"/>
    <w:rsid w:val="005F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2016-10-10T08:32:00Z</dcterms:created>
  <dcterms:modified xsi:type="dcterms:W3CDTF">2016-10-10T08:32:00Z</dcterms:modified>
</cp:coreProperties>
</file>