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684" w:type="dxa"/>
        <w:jc w:val="center"/>
        <w:tblCellSpacing w:w="0" w:type="dxa"/>
        <w:tblInd w:w="-17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3"/>
        <w:gridCol w:w="736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ascii="Arial" w:hAnsi="Arial" w:eastAsia="宋体" w:cs="Arial"/>
                <w:color w:val="333333"/>
                <w:sz w:val="27"/>
                <w:szCs w:val="27"/>
              </w:rPr>
              <w:t>报考单位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退费审核和资格复审具体地点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市直属学校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呼和浩特市招生考试管理中心一楼大厅（新华大街9号，市十九中西侧）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新城区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新城区教育局人事科4101室（成吉思汗大街29号，新城区人民政府东附楼，原新城区公安分局）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回民区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回民区教育局人事科（回民区小府北路贝尔路小学北校区北墙院内，可乘坐6路、33路到城发绿园东站下车后向东，到新钢公园后向北）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玉泉区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玉泉区教育局一楼西侧服务大厅（玉泉区石头巷31号）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赛罕区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赛罕区教育局5楼人事科（金桥开发区赛罕大厦）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土左旗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土左旗金山学校（金山开发区内蒙古医科大学校门对面，路南）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和林县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和林格尔县教育局人事股（和林格尔县城关镇新华街北40号）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清水河县</w:t>
            </w:r>
          </w:p>
        </w:tc>
        <w:tc>
          <w:tcPr>
            <w:tcW w:w="736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45" w:lineRule="atLeast"/>
              <w:ind w:left="600" w:firstLine="0"/>
              <w:jc w:val="center"/>
              <w:rPr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333333"/>
                <w:sz w:val="27"/>
                <w:szCs w:val="27"/>
              </w:rPr>
              <w:t>清水河县教育局人事股313办公室（清水河县永安街，城关三小东侧，县医院西侧）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53F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5">
    <w:name w:val="Hyperlink"/>
    <w:basedOn w:val="3"/>
    <w:uiPriority w:val="0"/>
    <w:rPr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2017-10-19T08:28:07Z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