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32"/>
        </w:rPr>
      </w:pPr>
      <w:r>
        <w:rPr>
          <w:rFonts w:hint="eastAsia" w:ascii="黑体" w:eastAsia="黑体"/>
          <w:color w:val="000000"/>
          <w:sz w:val="32"/>
          <w:szCs w:val="32"/>
        </w:rPr>
        <w:t>附件2</w:t>
      </w:r>
    </w:p>
    <w:p>
      <w:pPr>
        <w:jc w:val="center"/>
        <w:rPr>
          <w:rFonts w:hint="eastAsia" w:ascii="方正小标宋简体" w:hAnsi="宋体" w:eastAsia="方正小标宋简体"/>
          <w:color w:val="000000"/>
          <w:kern w:val="0"/>
          <w:sz w:val="38"/>
          <w:szCs w:val="44"/>
        </w:rPr>
      </w:pPr>
      <w:r>
        <w:rPr>
          <w:rFonts w:hint="eastAsia" w:ascii="方正小标宋简体" w:hAnsi="宋体" w:eastAsia="方正小标宋简体"/>
          <w:color w:val="000000"/>
          <w:kern w:val="0"/>
          <w:sz w:val="38"/>
          <w:szCs w:val="44"/>
        </w:rPr>
        <w:t xml:space="preserve"> </w:t>
      </w:r>
      <w:bookmarkStart w:id="0" w:name="_GoBack"/>
      <w:r>
        <w:rPr>
          <w:rFonts w:hint="eastAsia" w:ascii="方正小标宋简体" w:hAnsi="宋体" w:eastAsia="方正小标宋简体"/>
          <w:color w:val="000000"/>
          <w:kern w:val="0"/>
          <w:sz w:val="38"/>
          <w:szCs w:val="44"/>
        </w:rPr>
        <w:t>报考专业要求</w:t>
      </w:r>
      <w:bookmarkEnd w:id="0"/>
    </w:p>
    <w:tbl>
      <w:tblPr>
        <w:tblStyle w:val="3"/>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exact"/>
          <w:jc w:val="center"/>
        </w:trPr>
        <w:tc>
          <w:tcPr>
            <w:tcW w:w="1550" w:type="dxa"/>
            <w:noWrap w:val="0"/>
            <w:vAlign w:val="center"/>
          </w:tcPr>
          <w:p>
            <w:pPr>
              <w:jc w:val="center"/>
              <w:rPr>
                <w:rFonts w:hint="eastAsia" w:ascii="方正小标宋简体" w:hAnsi="宋体" w:eastAsia="方正小标宋简体"/>
                <w:b/>
                <w:color w:val="000000"/>
                <w:kern w:val="0"/>
                <w:sz w:val="21"/>
                <w:szCs w:val="21"/>
              </w:rPr>
            </w:pPr>
            <w:r>
              <w:rPr>
                <w:rFonts w:hint="eastAsia" w:ascii="方正小标宋简体" w:hAnsi="宋体" w:eastAsia="方正小标宋简体"/>
                <w:b/>
                <w:color w:val="000000"/>
                <w:kern w:val="0"/>
                <w:sz w:val="21"/>
                <w:szCs w:val="21"/>
              </w:rPr>
              <w:t xml:space="preserve"> 学科</w:t>
            </w:r>
          </w:p>
        </w:tc>
        <w:tc>
          <w:tcPr>
            <w:tcW w:w="7327" w:type="dxa"/>
            <w:noWrap w:val="0"/>
            <w:vAlign w:val="center"/>
          </w:tcPr>
          <w:p>
            <w:pPr>
              <w:jc w:val="center"/>
              <w:rPr>
                <w:rFonts w:hint="eastAsia" w:ascii="方正小标宋简体" w:hAnsi="宋体" w:eastAsia="方正小标宋简体"/>
                <w:b/>
                <w:color w:val="000000"/>
                <w:kern w:val="0"/>
                <w:sz w:val="21"/>
                <w:szCs w:val="21"/>
              </w:rPr>
            </w:pPr>
            <w:r>
              <w:rPr>
                <w:rFonts w:hint="eastAsia" w:ascii="方正小标宋简体" w:hAnsi="宋体" w:eastAsia="方正小标宋简体"/>
                <w:b/>
                <w:color w:val="000000"/>
                <w:kern w:val="0"/>
                <w:sz w:val="21"/>
                <w:szCs w:val="21"/>
              </w:rPr>
              <w:t>专  业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olor w:val="000000"/>
                <w:sz w:val="21"/>
                <w:szCs w:val="21"/>
              </w:rPr>
              <w:t>语文</w:t>
            </w:r>
          </w:p>
        </w:tc>
        <w:tc>
          <w:tcPr>
            <w:tcW w:w="73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汉语言文学、汉语言、语文教育、汉语言文学教育、应用语言学、对外汉语、汉语国际教育、</w:t>
            </w:r>
            <w:r>
              <w:rPr>
                <w:rFonts w:hint="eastAsia" w:ascii="宋体" w:hAnsi="宋体" w:cs="宋体"/>
                <w:color w:val="000000"/>
                <w:kern w:val="0"/>
                <w:sz w:val="21"/>
                <w:szCs w:val="21"/>
                <w:lang w:val="en-US" w:eastAsia="zh-CN"/>
              </w:rPr>
              <w:t>古典文献学、</w:t>
            </w:r>
            <w:r>
              <w:rPr>
                <w:rFonts w:hint="eastAsia" w:ascii="宋体" w:hAnsi="宋体" w:cs="宋体"/>
                <w:color w:val="000000"/>
                <w:kern w:val="0"/>
                <w:sz w:val="21"/>
                <w:szCs w:val="21"/>
              </w:rPr>
              <w:t>中国古代文学、中国现当代文学、语言学与应用语言学、</w:t>
            </w:r>
            <w:r>
              <w:rPr>
                <w:rFonts w:hint="eastAsia" w:ascii="宋体" w:hAnsi="宋体" w:cs="宋体"/>
                <w:color w:val="000000"/>
                <w:kern w:val="0"/>
                <w:sz w:val="21"/>
                <w:szCs w:val="21"/>
                <w:highlight w:val="none"/>
                <w:lang w:val="en-US" w:eastAsia="zh-CN"/>
              </w:rPr>
              <w:t>中国古典文献学、</w:t>
            </w:r>
            <w:r>
              <w:rPr>
                <w:rFonts w:hint="eastAsia" w:ascii="宋体" w:hAnsi="宋体" w:cs="宋体"/>
                <w:color w:val="000000"/>
                <w:kern w:val="0"/>
                <w:sz w:val="21"/>
                <w:szCs w:val="21"/>
                <w:highlight w:val="none"/>
              </w:rPr>
              <w:t>汉语言文字学</w:t>
            </w:r>
            <w:r>
              <w:rPr>
                <w:rFonts w:hint="eastAsia" w:ascii="宋体" w:hAnsi="宋体" w:cs="宋体"/>
                <w:color w:val="000000"/>
                <w:kern w:val="0"/>
                <w:sz w:val="21"/>
                <w:szCs w:val="21"/>
                <w:highlight w:val="none"/>
                <w:lang w:val="en-US" w:eastAsia="zh-CN"/>
              </w:rPr>
              <w:t>、比较文学与世界文学、</w:t>
            </w:r>
            <w:r>
              <w:rPr>
                <w:rFonts w:hint="eastAsia" w:ascii="宋体" w:hAnsi="宋体" w:cs="宋体"/>
                <w:color w:val="000000"/>
                <w:kern w:val="0"/>
                <w:sz w:val="21"/>
                <w:szCs w:val="21"/>
              </w:rPr>
              <w:t>课程与教学论、学科教学</w:t>
            </w:r>
            <w:r>
              <w:rPr>
                <w:rFonts w:hint="eastAsia" w:ascii="宋体" w:hAnsi="宋体" w:cs="宋体"/>
                <w:color w:val="000000"/>
                <w:kern w:val="0"/>
                <w:sz w:val="21"/>
                <w:szCs w:val="21"/>
                <w:lang w:eastAsia="zh-CN"/>
              </w:rPr>
              <w:t>，</w:t>
            </w:r>
            <w:r>
              <w:rPr>
                <w:rFonts w:hint="eastAsia" w:ascii="宋体" w:hAnsi="宋体" w:cs="宋体"/>
                <w:b/>
                <w:bCs/>
                <w:color w:val="000000"/>
                <w:kern w:val="0"/>
                <w:sz w:val="21"/>
                <w:szCs w:val="21"/>
              </w:rPr>
              <w:t>小学教育、初等教育</w:t>
            </w:r>
            <w:r>
              <w:rPr>
                <w:rFonts w:hint="eastAsia" w:ascii="宋体" w:hAnsi="宋体" w:cs="宋体"/>
                <w:b/>
                <w:bCs/>
                <w:color w:val="000000"/>
                <w:kern w:val="0"/>
                <w:sz w:val="21"/>
                <w:szCs w:val="21"/>
                <w:lang w:val="en-US" w:eastAsia="zh-CN"/>
              </w:rPr>
              <w:t>等2个专业只能报考小学职位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olor w:val="000000"/>
                <w:sz w:val="21"/>
                <w:szCs w:val="21"/>
              </w:rPr>
              <w:t>数学</w:t>
            </w:r>
          </w:p>
        </w:tc>
        <w:tc>
          <w:tcPr>
            <w:tcW w:w="73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数学与应用数学、信息与计算科学、数学教育、基础数学、计算数学、应用数学、</w:t>
            </w:r>
            <w:r>
              <w:rPr>
                <w:rFonts w:hint="eastAsia" w:ascii="宋体" w:hAnsi="宋体" w:cs="宋体"/>
                <w:color w:val="000000"/>
                <w:kern w:val="0"/>
                <w:sz w:val="21"/>
                <w:szCs w:val="21"/>
                <w:lang w:val="en-US" w:eastAsia="zh-CN"/>
              </w:rPr>
              <w:t>概率论与数理统计、运筹学与控制论、</w:t>
            </w:r>
            <w:r>
              <w:rPr>
                <w:rFonts w:hint="eastAsia" w:ascii="宋体" w:hAnsi="宋体" w:cs="宋体"/>
                <w:color w:val="000000"/>
                <w:kern w:val="0"/>
                <w:sz w:val="21"/>
                <w:szCs w:val="21"/>
              </w:rPr>
              <w:t>课程与教学论、学科教学</w:t>
            </w:r>
            <w:r>
              <w:rPr>
                <w:rFonts w:hint="eastAsia" w:ascii="宋体" w:hAnsi="宋体" w:cs="宋体"/>
                <w:color w:val="000000"/>
                <w:kern w:val="0"/>
                <w:sz w:val="21"/>
                <w:szCs w:val="21"/>
                <w:lang w:eastAsia="zh-CN"/>
              </w:rPr>
              <w:t>，</w:t>
            </w:r>
            <w:r>
              <w:rPr>
                <w:rFonts w:hint="eastAsia" w:ascii="宋体" w:hAnsi="宋体" w:cs="宋体"/>
                <w:b/>
                <w:bCs/>
                <w:color w:val="000000"/>
                <w:kern w:val="0"/>
                <w:sz w:val="21"/>
                <w:szCs w:val="21"/>
              </w:rPr>
              <w:t>小学教育、初等教育</w:t>
            </w:r>
            <w:r>
              <w:rPr>
                <w:rFonts w:hint="eastAsia" w:ascii="宋体" w:hAnsi="宋体" w:cs="宋体"/>
                <w:b/>
                <w:bCs/>
                <w:color w:val="000000"/>
                <w:kern w:val="0"/>
                <w:sz w:val="21"/>
                <w:szCs w:val="21"/>
                <w:lang w:val="en-US" w:eastAsia="zh-CN"/>
              </w:rPr>
              <w:t>等2个专业只能报考小学职位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olor w:val="000000"/>
                <w:sz w:val="21"/>
                <w:szCs w:val="21"/>
              </w:rPr>
              <w:t>英语</w:t>
            </w:r>
          </w:p>
        </w:tc>
        <w:tc>
          <w:tcPr>
            <w:tcW w:w="73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英语、应用英语、英语教育、外国语言学及应用语言学、英语语言文学、英语笔译、英语口译、英语翻译、课程与教学论、学科教学</w:t>
            </w:r>
            <w:r>
              <w:rPr>
                <w:rFonts w:hint="eastAsia" w:ascii="宋体" w:hAnsi="宋体" w:cs="宋体"/>
                <w:color w:val="000000"/>
                <w:kern w:val="0"/>
                <w:sz w:val="21"/>
                <w:szCs w:val="21"/>
                <w:lang w:eastAsia="zh-CN"/>
              </w:rPr>
              <w:t>，</w:t>
            </w:r>
            <w:r>
              <w:rPr>
                <w:rFonts w:hint="eastAsia" w:ascii="宋体" w:hAnsi="宋体" w:cs="宋体"/>
                <w:b/>
                <w:bCs/>
                <w:color w:val="000000"/>
                <w:kern w:val="0"/>
                <w:sz w:val="21"/>
                <w:szCs w:val="21"/>
              </w:rPr>
              <w:t>小学教育、初等教育等2个专业只能报考小学职位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olor w:val="000000"/>
                <w:sz w:val="21"/>
                <w:szCs w:val="21"/>
              </w:rPr>
              <w:t>科学</w:t>
            </w:r>
          </w:p>
        </w:tc>
        <w:tc>
          <w:tcPr>
            <w:tcW w:w="73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物理学、应用物理学、物理教育、理论物理、粒子物理与原子核物理、原子与分子物理、等离子体物理、凝聚态物理、</w:t>
            </w:r>
            <w:r>
              <w:rPr>
                <w:rFonts w:hint="eastAsia" w:ascii="宋体" w:hAnsi="宋体" w:cs="宋体"/>
                <w:color w:val="000000"/>
                <w:kern w:val="0"/>
                <w:sz w:val="21"/>
                <w:szCs w:val="21"/>
                <w:lang w:eastAsia="zh-CN"/>
              </w:rPr>
              <w:t>核物理、</w:t>
            </w:r>
            <w:r>
              <w:rPr>
                <w:rFonts w:hint="eastAsia" w:ascii="宋体" w:hAnsi="宋体" w:cs="宋体"/>
                <w:color w:val="000000"/>
                <w:kern w:val="0"/>
                <w:sz w:val="21"/>
                <w:szCs w:val="21"/>
              </w:rPr>
              <w:t>声学、光学、</w:t>
            </w:r>
            <w:r>
              <w:rPr>
                <w:rFonts w:hint="eastAsia" w:ascii="宋体" w:hAnsi="宋体" w:cs="宋体"/>
                <w:color w:val="000000"/>
                <w:kern w:val="0"/>
                <w:sz w:val="21"/>
                <w:szCs w:val="21"/>
                <w:lang w:val="en-US" w:eastAsia="zh-CN"/>
              </w:rPr>
              <w:t>无线电物理、</w:t>
            </w:r>
            <w:r>
              <w:rPr>
                <w:rFonts w:hint="eastAsia" w:ascii="宋体" w:hAnsi="宋体" w:cs="宋体"/>
                <w:color w:val="000000"/>
                <w:kern w:val="0"/>
                <w:sz w:val="21"/>
                <w:szCs w:val="21"/>
              </w:rPr>
              <w:t>现代物理概论、生物科学、生物技术、生物教育、植物学、动物学、化学、应用化学、无机化学、有机化学、分析化学、</w:t>
            </w:r>
            <w:r>
              <w:rPr>
                <w:rFonts w:hint="eastAsia" w:ascii="宋体" w:hAnsi="宋体" w:cs="宋体"/>
                <w:color w:val="000000"/>
                <w:kern w:val="0"/>
                <w:sz w:val="21"/>
                <w:szCs w:val="21"/>
                <w:lang w:val="en-US" w:eastAsia="zh-CN"/>
              </w:rPr>
              <w:t>高分子化学与物理、</w:t>
            </w:r>
            <w:r>
              <w:rPr>
                <w:rFonts w:hint="eastAsia" w:ascii="宋体" w:hAnsi="宋体" w:cs="宋体"/>
                <w:color w:val="000000"/>
                <w:kern w:val="0"/>
                <w:sz w:val="21"/>
                <w:szCs w:val="21"/>
              </w:rPr>
              <w:t>物理化学、科学教育</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课程与教学论、学科教学</w:t>
            </w:r>
            <w:r>
              <w:rPr>
                <w:rFonts w:hint="eastAsia" w:ascii="宋体" w:hAnsi="宋体" w:cs="宋体"/>
                <w:color w:val="000000"/>
                <w:kern w:val="0"/>
                <w:sz w:val="21"/>
                <w:szCs w:val="21"/>
                <w:lang w:eastAsia="zh-CN"/>
              </w:rPr>
              <w:t>，</w:t>
            </w:r>
            <w:r>
              <w:rPr>
                <w:rFonts w:hint="eastAsia" w:ascii="宋体" w:hAnsi="宋体" w:cs="宋体"/>
                <w:b/>
                <w:bCs/>
                <w:color w:val="000000"/>
                <w:kern w:val="0"/>
                <w:sz w:val="21"/>
                <w:szCs w:val="21"/>
              </w:rPr>
              <w:t>小学科学只能报小学职位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s="宋体"/>
                <w:color w:val="000000"/>
                <w:kern w:val="0"/>
                <w:sz w:val="21"/>
                <w:szCs w:val="21"/>
              </w:rPr>
              <w:t>社会</w:t>
            </w:r>
          </w:p>
        </w:tc>
        <w:tc>
          <w:tcPr>
            <w:tcW w:w="7327" w:type="dxa"/>
            <w:noWrap w:val="0"/>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思想政治教育、政治学理论、马克思主义哲学、</w:t>
            </w:r>
            <w:r>
              <w:rPr>
                <w:rFonts w:hint="eastAsia" w:ascii="宋体" w:hAnsi="宋体" w:cs="宋体"/>
                <w:color w:val="000000"/>
                <w:kern w:val="0"/>
                <w:sz w:val="21"/>
                <w:szCs w:val="21"/>
                <w:lang w:val="en-US" w:eastAsia="zh-CN"/>
              </w:rPr>
              <w:t>马克思主义基本原理、</w:t>
            </w:r>
            <w:r>
              <w:rPr>
                <w:rFonts w:hint="eastAsia" w:ascii="宋体" w:hAnsi="宋体" w:cs="宋体"/>
                <w:color w:val="000000"/>
                <w:kern w:val="0"/>
                <w:sz w:val="21"/>
                <w:szCs w:val="21"/>
              </w:rPr>
              <w:t>马克思主义中国化研究、中国哲学、人文教育、地理科学、地理教育、自然地理学、人文地理学、历史学、历史教育、中国古代史、中国近现代史、世界史、专门史、学科教学、课程与教学论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olor w:val="000000"/>
                <w:sz w:val="21"/>
                <w:szCs w:val="21"/>
              </w:rPr>
              <w:t>信息技术</w:t>
            </w:r>
          </w:p>
        </w:tc>
        <w:tc>
          <w:tcPr>
            <w:tcW w:w="7327" w:type="dxa"/>
            <w:noWrap w:val="0"/>
            <w:vAlign w:val="center"/>
          </w:tcPr>
          <w:p>
            <w:pPr>
              <w:spacing w:line="240" w:lineRule="exact"/>
              <w:jc w:val="left"/>
              <w:rPr>
                <w:rFonts w:hint="eastAsia" w:ascii="宋体" w:hAnsi="宋体"/>
                <w:color w:val="000000"/>
                <w:sz w:val="21"/>
                <w:szCs w:val="21"/>
              </w:rPr>
            </w:pPr>
            <w:r>
              <w:rPr>
                <w:rFonts w:hint="eastAsia" w:ascii="宋体" w:hAnsi="宋体"/>
                <w:color w:val="000000"/>
                <w:sz w:val="21"/>
                <w:szCs w:val="21"/>
              </w:rPr>
              <w:t>教育技术学、计算机科学与技术、网络工程、软件工程</w:t>
            </w:r>
            <w:r>
              <w:rPr>
                <w:rFonts w:hint="eastAsia" w:ascii="宋体" w:hAnsi="宋体"/>
                <w:color w:val="000000"/>
                <w:sz w:val="21"/>
                <w:szCs w:val="21"/>
                <w:lang w:eastAsia="zh-CN"/>
              </w:rPr>
              <w:t>、物联网工程、数字媒体技术、信息安全、信息管理、信息管理与信息系统、计算机系统结构、</w:t>
            </w:r>
            <w:r>
              <w:rPr>
                <w:rFonts w:hint="eastAsia" w:ascii="宋体" w:hAnsi="宋体"/>
                <w:color w:val="000000"/>
                <w:sz w:val="21"/>
                <w:szCs w:val="21"/>
              </w:rPr>
              <w:t>计算机软件与理论、计算机应用技术、课程与教学论、学科教学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olor w:val="000000"/>
                <w:sz w:val="21"/>
                <w:szCs w:val="21"/>
              </w:rPr>
              <w:t>音乐</w:t>
            </w:r>
          </w:p>
        </w:tc>
        <w:tc>
          <w:tcPr>
            <w:tcW w:w="7327" w:type="dxa"/>
            <w:noWrap w:val="0"/>
            <w:vAlign w:val="center"/>
          </w:tcPr>
          <w:p>
            <w:pPr>
              <w:spacing w:line="240" w:lineRule="exact"/>
              <w:rPr>
                <w:rFonts w:hint="eastAsia" w:ascii="宋体" w:hAnsi="宋体"/>
                <w:color w:val="000000"/>
                <w:sz w:val="21"/>
                <w:szCs w:val="21"/>
              </w:rPr>
            </w:pPr>
            <w:r>
              <w:rPr>
                <w:rFonts w:hint="eastAsia" w:ascii="宋体" w:hAnsi="宋体" w:cs="宋体"/>
                <w:color w:val="000000"/>
                <w:kern w:val="0"/>
                <w:sz w:val="21"/>
                <w:szCs w:val="21"/>
              </w:rPr>
              <w:t>音乐、音乐学、音乐教育、艺术教育、音乐表演、音乐教育学、音乐美学、音乐与舞蹈学</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舞蹈学、舞蹈教育、舞蹈编导、表演（中国舞）、表演（芭蕾舞）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olor w:val="000000"/>
                <w:sz w:val="21"/>
                <w:szCs w:val="21"/>
              </w:rPr>
              <w:t>体育</w:t>
            </w:r>
          </w:p>
        </w:tc>
        <w:tc>
          <w:tcPr>
            <w:tcW w:w="7327" w:type="dxa"/>
            <w:noWrap w:val="0"/>
            <w:vAlign w:val="center"/>
          </w:tcPr>
          <w:p>
            <w:pPr>
              <w:spacing w:line="240" w:lineRule="exact"/>
              <w:jc w:val="left"/>
              <w:rPr>
                <w:rFonts w:hint="eastAsia" w:ascii="宋体" w:hAnsi="宋体"/>
                <w:color w:val="000000"/>
                <w:sz w:val="21"/>
                <w:szCs w:val="21"/>
              </w:rPr>
            </w:pPr>
            <w:r>
              <w:rPr>
                <w:rFonts w:hint="eastAsia" w:ascii="宋体" w:hAnsi="宋体"/>
                <w:color w:val="000000"/>
                <w:sz w:val="21"/>
                <w:szCs w:val="21"/>
              </w:rPr>
              <w:t>体育教育、社会体育、体育、体育学、运动训练、体育教育训练学、社会体育指导与管理、体育人文社会学、体育教学、社会体育指导、课程与教学论、学科教学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jc w:val="center"/>
        </w:trPr>
        <w:tc>
          <w:tcPr>
            <w:tcW w:w="1550" w:type="dxa"/>
            <w:noWrap w:val="0"/>
            <w:vAlign w:val="center"/>
          </w:tcPr>
          <w:p>
            <w:pPr>
              <w:spacing w:line="240" w:lineRule="exact"/>
              <w:jc w:val="center"/>
              <w:rPr>
                <w:rFonts w:hint="eastAsia" w:ascii="宋体" w:hAnsi="宋体"/>
                <w:color w:val="000000"/>
                <w:sz w:val="21"/>
                <w:szCs w:val="21"/>
              </w:rPr>
            </w:pPr>
            <w:r>
              <w:rPr>
                <w:rFonts w:hint="eastAsia" w:ascii="宋体" w:hAnsi="宋体"/>
                <w:color w:val="000000"/>
                <w:sz w:val="21"/>
                <w:szCs w:val="21"/>
              </w:rPr>
              <w:t>美术</w:t>
            </w:r>
          </w:p>
        </w:tc>
        <w:tc>
          <w:tcPr>
            <w:tcW w:w="7327" w:type="dxa"/>
            <w:noWrap w:val="0"/>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美术、美术学、美术教育、艺术教育、绘画、中国画、版画、油画</w:t>
            </w:r>
          </w:p>
        </w:tc>
      </w:tr>
    </w:tbl>
    <w:p>
      <w:pPr>
        <w:keepNext w:val="0"/>
        <w:keepLines w:val="0"/>
        <w:pageBreakBefore w:val="0"/>
        <w:widowControl w:val="0"/>
        <w:kinsoku/>
        <w:wordWrap/>
        <w:overflowPunct/>
        <w:topLinePunct w:val="0"/>
        <w:autoSpaceDE/>
        <w:autoSpaceDN/>
        <w:bidi w:val="0"/>
        <w:adjustRightInd/>
        <w:snapToGrid/>
        <w:spacing w:before="156" w:beforeLines="50" w:after="0" w:afterLines="0" w:line="240" w:lineRule="auto"/>
        <w:ind w:left="0" w:leftChars="0" w:right="0" w:rightChars="0" w:firstLine="0" w:firstLineChars="0"/>
        <w:jc w:val="both"/>
        <w:textAlignment w:val="auto"/>
        <w:outlineLvl w:val="9"/>
        <w:rPr>
          <w:rFonts w:hint="eastAsia" w:ascii="宋体" w:hAnsi="宋体"/>
          <w:color w:val="000000"/>
          <w:kern w:val="0"/>
          <w:szCs w:val="21"/>
        </w:rPr>
      </w:pPr>
      <w:r>
        <w:rPr>
          <w:rFonts w:hint="eastAsia" w:ascii="宋体" w:hAnsi="宋体"/>
          <w:color w:val="000000"/>
          <w:kern w:val="0"/>
          <w:szCs w:val="21"/>
        </w:rPr>
        <w:t>注：1.职位均应按已经明确的专业要求报考；未明确的专业原则上不能报考。</w:t>
      </w:r>
    </w:p>
    <w:p>
      <w:pPr>
        <w:widowControl/>
        <w:rPr>
          <w:rFonts w:hint="eastAsia" w:ascii="仿宋_GB2312" w:hAnsi="宋体" w:eastAsia="仿宋_GB2312"/>
          <w:color w:val="000000"/>
          <w:kern w:val="0"/>
          <w:sz w:val="24"/>
          <w:highlight w:val="none"/>
        </w:rPr>
      </w:pPr>
      <w:r>
        <w:rPr>
          <w:rFonts w:hint="eastAsia" w:ascii="宋体" w:hAnsi="宋体"/>
          <w:color w:val="000000"/>
          <w:kern w:val="0"/>
          <w:szCs w:val="21"/>
          <w:lang w:val="en-US" w:eastAsia="zh-CN"/>
        </w:rPr>
        <w:t xml:space="preserve">    2.</w:t>
      </w:r>
      <w:r>
        <w:rPr>
          <w:rFonts w:hint="eastAsia" w:ascii="宋体" w:hAnsi="宋体"/>
          <w:color w:val="000000"/>
          <w:kern w:val="0"/>
          <w:szCs w:val="21"/>
        </w:rPr>
        <w:t>课程与教学论、学科教学专业按照所学专业方向报考；小学教育、初等教育专业报考人员按</w:t>
      </w:r>
      <w:r>
        <w:rPr>
          <w:rFonts w:hint="eastAsia" w:ascii="宋体" w:hAnsi="宋体"/>
          <w:color w:val="000000"/>
          <w:kern w:val="0"/>
          <w:szCs w:val="21"/>
          <w:lang w:val="en-US" w:eastAsia="zh-CN"/>
        </w:rPr>
        <w:t>照</w:t>
      </w:r>
      <w:r>
        <w:rPr>
          <w:rFonts w:hint="eastAsia" w:ascii="宋体" w:hAnsi="宋体"/>
          <w:color w:val="000000"/>
          <w:kern w:val="0"/>
          <w:szCs w:val="21"/>
        </w:rPr>
        <w:t>所学专业侧重方向报考</w:t>
      </w:r>
      <w:r>
        <w:rPr>
          <w:rFonts w:hint="eastAsia" w:ascii="宋体" w:hAnsi="宋体"/>
          <w:color w:val="000000"/>
          <w:kern w:val="0"/>
          <w:szCs w:val="21"/>
          <w:lang w:eastAsia="zh-CN"/>
        </w:rPr>
        <w:t>。</w:t>
      </w:r>
      <w:r>
        <w:rPr>
          <w:rFonts w:hint="eastAsia" w:ascii="宋体" w:hAnsi="宋体"/>
          <w:color w:val="000000"/>
          <w:kern w:val="0"/>
          <w:szCs w:val="21"/>
          <w:u w:val="single" w:color="auto"/>
          <w:lang w:val="en-US" w:eastAsia="zh-CN"/>
        </w:rPr>
        <w:t>上述专业报考人员需提供学校相关专业侧重方向证明及大学期间学习成绩单</w:t>
      </w:r>
      <w:r>
        <w:rPr>
          <w:rFonts w:hint="eastAsia" w:ascii="宋体" w:hAnsi="宋体"/>
          <w:color w:val="000000"/>
          <w:kern w:val="0"/>
          <w:szCs w:val="21"/>
          <w:u w:val="single" w:color="auto"/>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66A20"/>
    <w:rsid w:val="6F766A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2018-12-26T08:14:00Z</dcterms:created>
  <dc:creator>天空</dc:creator>
  <cp:lastModifiedBy>天空</cp:lastModifiedBy>
  <dcterms:modified xsi:type="dcterms:W3CDTF">2018-12-26T08:15:09Z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