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358"/>
        <w:tblW w:w="15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909"/>
        <w:gridCol w:w="1219"/>
        <w:gridCol w:w="1054"/>
        <w:gridCol w:w="1322"/>
        <w:gridCol w:w="2809"/>
        <w:gridCol w:w="2169"/>
        <w:gridCol w:w="29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30"/>
                <w:szCs w:val="3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  <w:highlight w:val="none"/>
              </w:rPr>
              <w:t>附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件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  <w:highlight w:val="non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2018年开封市禹王台区直属学校及幼儿园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招聘教师计划表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类型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经费形式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拟招聘</w:t>
            </w: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岗位数量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学科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拟招聘岗位类别及等级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禹王台区汪屯中学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初中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初中语文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全日制普通高校本科及以上学历</w:t>
            </w: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  <w:t>普通话二级乙等及以上、具有初中及以上教师资格证且专业与报考岗位一致。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初中数学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禹王台区夏理逊小学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小学语文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全日制普通高校大专及以上学历</w:t>
            </w: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  <w:t>普通话二级甲等及以上、具有小学及以上教师资格证且专业与报考岗位一致。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小学数学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禹王台区中山路第一小学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小学数学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小学体育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禹王台区开封 高中附属小学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小学语文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小学数学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禹王台区五一路第一小学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小学语文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小学数学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小学美术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禹王台区禹王台小学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小学数学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  <w:t>禹王台区伞塔小学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小学语文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  <w:t>小学英语</w:t>
            </w: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医院前街幼儿园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  <w:t>幼儿园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  <w:t>幼儿教育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highlight w:val="none"/>
              </w:rPr>
              <w:t>全日制普通高校大专及以上学历</w:t>
            </w: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普通话二级甲等及以上、具有幼儿园教师资格证。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新征幼儿园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幼儿园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幼儿教育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民享街幼儿园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幼儿园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事业全供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幼儿教育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专业技术 十二级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9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72E8"/>
    <w:rsid w:val="139E72E8"/>
    <w:rsid w:val="1C7D26A3"/>
    <w:rsid w:val="48A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2018-12-26T09:26:00Z</dcterms:created>
  <dc:creator>鲁永卿</dc:creator>
  <cp:lastModifiedBy>zn.</cp:lastModifiedBy>
  <dcterms:modified xsi:type="dcterms:W3CDTF">2018-12-26T12:18:47Z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