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420"/>
        <w:jc w:val="center"/>
        <w:rPr>
          <w:rFonts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4C41"/>
          <w:spacing w:val="15"/>
          <w:sz w:val="21"/>
          <w:szCs w:val="21"/>
          <w:bdr w:val="none" w:color="auto" w:sz="0" w:space="0"/>
          <w:shd w:val="clear" w:fill="FFFFFF"/>
        </w:rPr>
        <w:t>2019年三门峡市教育局直属学校公开招聘中小学教师岗位明细表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0420" cy="3268980"/>
            <wp:effectExtent l="0" t="0" r="5080" b="7620"/>
            <wp:docPr id="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80100" cy="3542665"/>
            <wp:effectExtent l="0" t="0" r="6350" b="635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95975" cy="2686050"/>
            <wp:effectExtent l="0" t="0" r="9525" b="0"/>
            <wp:docPr id="2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4C41"/>
          <w:spacing w:val="15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1. 普通高等院校全日制专科、本科及以上是指通过全国普通高等招生考试录取的全日制专科、本科及以上学生。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   2. 专业要求是指全国普通高等招生考试录取的全日制专科、本科所学专业。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   3. 30周岁是指1989年7月19日以后出生的，35周岁是指1984年7月19日以后出生的。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   4. 本表中专业要求、学历要求、年龄要求和教师资格证要求须同时具备。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   5. 小学全科教师资格证符合所有小学岗位教师资格证要求。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6D53"/>
    <w:rsid w:val="64C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2019-07-05T09:39:00Z</dcterms:created>
  <dc:creator>lenovo</dc:creator>
  <cp:lastModifiedBy>lenovo</cp:lastModifiedBy>
  <dcterms:modified xsi:type="dcterms:W3CDTF">2019-07-05T09:40:13Z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