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  <w:lang w:val="en-US" w:eastAsia="zh-CN"/>
        </w:rPr>
        <w:t>第一至七类人才引进范围及年龄条件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right="0" w:rightChars="0" w:firstLine="88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  <w:lang w:val="en-US" w:eastAsia="zh-CN"/>
        </w:rPr>
        <w:t xml:space="preserve">   一、引进范围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（一）第一类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中国科学院院士、中国工程院院士（含外籍院士）以及相当层次的人才。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（二）第二类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进入中国科学院院士增选、中国工程院院士遴选的有效候选人。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国家自然科学奖、国家技术发明奖、国家科学技术进步奖一等奖及以上获得者（第一主研人员）。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“国家特支计划”杰出人才，哲学社会科学领域做出创造性成就和重大贡献、学术声望高的一级教授（资深教授），海外一流大学或科研机构知名终身教授以及相当层次的人才。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（三）第三类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国家自然科学奖、国家技术发明奖、国家科学技术进步奖二等奖获得者。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国家自然科学基金重大项目、重点项目主持人，国家杰出青年科学基金获得者，国家社会科学基金重大项目主持人。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“国家特支计划”领军人才。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全国杰出专业技术人才获得者。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“长江学者奖励计划”特聘教授。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（四）第四类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国家重点学科、实验室、工程技术研究中心学术（技术）带头人。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“百千万人才工程”国家级人选。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“国家特支计划”青年拔尖人才，“青年长江学者”入选者，“创新人才推进计划”中青年科技创新领军人才，国家自然科学基金优秀青年科学基金获得者。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中国科学院“百人计划”入选者。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z w:val="32"/>
          <w:szCs w:val="32"/>
          <w:u w:val="none" w:color="auto"/>
          <w:lang w:eastAsia="zh-CN"/>
        </w:rPr>
        <w:t>（五）第五类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 w:firstLine="65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具有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内外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知名高校或科研院所的博士、博士后经历，取得较高学术成就的。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80" w:lineRule="exact"/>
        <w:ind w:left="0" w:leftChars="0" w:right="0" w:rightChars="0" w:firstLine="65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具有国内一流高校与科研院所副高级以上专业技术职称，取得突出学术成就的。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）第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世界技能大赛金、银、铜牌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获得者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和国家级一类技能竞赛前五名获得者。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中华技能大奖获得者和全国技术能手。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国家级技能大师工作室主要负责人。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省部级选拔表彰的最高层次技能人才。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具备绝技绝活的特殊技能人才及其他相当层次的技能人才。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　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）第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取得正高级专业技术职称人员。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　　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2、取得博士学位人员。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、取得海外硕士以上学位人员、一流大学重点学科全日制毕业硕士研究生。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   4、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“双师型”高技能人才。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国家级优秀文化艺术体育人才、非物质文化遗产传承人。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二、年龄条件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第一至四类人才不超过法定退休年龄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；第五至六类人才年龄在50周岁及以下（1968年1月21日以后出生）；第七类人才取得正高级职称、博士学位和“双师型”高技能人才、国家级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优秀文化艺术体育人才、非物质文化遗产传承人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资格的年龄在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45周岁及以下（1973年1月21日以后出生），其他人才年龄在35周岁及以下（1983年1月21日以后出生）。对特别优秀的人才，可适当放宽年龄条件。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4F38"/>
    <w:rsid w:val="1A514E3B"/>
    <w:rsid w:val="1CD130B9"/>
    <w:rsid w:val="2D9F4739"/>
    <w:rsid w:val="36E02403"/>
    <w:rsid w:val="56F34F38"/>
    <w:rsid w:val="76A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2019-01-14T03:15:00Z</dcterms:created>
  <dc:creator>包文军</dc:creator>
  <cp:lastModifiedBy>包文军</cp:lastModifiedBy>
  <dcterms:modified xsi:type="dcterms:W3CDTF">2019-01-16T09:17:40Z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