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  <w:t xml:space="preserve">中共莆田市委办公室  市人民政府办公室关于进一  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  <w:t>步做好引进人才家属子女就业工作的通知</w:t>
      </w:r>
    </w:p>
    <w:p>
      <w:pPr>
        <w:spacing w:line="52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（莆委办〔2010〕64号）</w:t>
      </w:r>
    </w:p>
    <w:p>
      <w:pPr>
        <w:spacing w:line="52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各县区委（工委）、人民政府（管委会），市直有关单位：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为进一步做好人才引进工作，切实解决引进人才家属子女就业问题，根据国家人事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部和省有关部门的规定，结合我市实际情况，现就引进人才家属子女就业工作通知如下：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1、引进高层次人才的尚未就业家属子发女进入事业单位工作，必须参加公开招聘考试，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符合岗位设置的条件，实行笔试加分政策。具体加分分值（按100分制的笔试成绩加分）为：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（1）两院院士的家属子女加30分；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（2）国家“千人计划”专家的属子女加28分；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（3）国家“863计划”、“973计划”专家组组长、副组长的家属子女加25分；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（4）国家有突贡献的中青年专家、享受国务院特殊津贴专家的家属子女加20分；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（5）担任国家科技攻关课题负责人、国家重点实验室副主任以上、学术委员会副主任以上、学部委员的教授给专家的家属子女加18分；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（6）相当于长江学者成就奖的教授专家的家属子女加15分；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（7）获得相当于国家科技进步三等奖以上、省科技进步二等奖以上的教授级第一完成人的家属子女加10分；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（8）教授、博士的家属子女加5分；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加分分值按照就高原则，不重复加分。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2、引进人才家属、子女已就业的，可按同类性质单位随调，组织人事部门要积极协调相关单位抓好落实。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3、对家属子女不符合事业单位设置条件的，引进单位可自行聘用，不列入编制内。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4、莆田学院内现有的教授、博士研究生的家属子女，符合事业单位招考岗位条件要求，具备上述条件可享受同等待遇。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5、过去规定与本意见不一致的，按本意见执行。</w:t>
      </w:r>
    </w:p>
    <w:p>
      <w:pPr>
        <w:spacing w:line="520" w:lineRule="exact"/>
        <w:ind w:firstLine="600" w:firstLineChars="200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中共莆田市委办公室</w:t>
      </w:r>
    </w:p>
    <w:p>
      <w:pPr>
        <w:spacing w:line="520" w:lineRule="exact"/>
        <w:ind w:firstLine="600" w:firstLineChars="200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莆田市人民政府办公室</w:t>
      </w:r>
    </w:p>
    <w:p>
      <w:pPr>
        <w:spacing w:line="520" w:lineRule="exact"/>
        <w:ind w:firstLine="600" w:firstLineChars="200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2010年11月30日</w:t>
      </w:r>
    </w:p>
    <w:p>
      <w:pPr>
        <w:spacing w:line="500" w:lineRule="exact"/>
        <w:rPr>
          <w:rFonts w:hint="eastAsia" w:ascii="仿宋_GB2312" w:hAnsi="宋体"/>
          <w:color w:val="auto"/>
          <w:sz w:val="32"/>
          <w:szCs w:val="32"/>
          <w:highlight w:val="none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zh-CN" w:eastAsia="zh-CN"/>
      </w:rPr>
      <w:t>26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92DB7"/>
    <w:rsid w:val="57292DB7"/>
    <w:rsid w:val="78CF1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sz w:val="24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1"/>
    <w:basedOn w:val="1"/>
    <w:link w:val="4"/>
    <w:qFormat/>
    <w:uiPriority w:val="0"/>
    <w:pPr>
      <w:tabs>
        <w:tab w:val="left" w:pos="0"/>
      </w:tabs>
      <w:spacing w:line="360" w:lineRule="auto"/>
    </w:pPr>
    <w:rPr>
      <w:rFonts w:eastAsia="宋体"/>
      <w:sz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2016-03-28T01:04:00Z</dcterms:created>
  <dc:creator>ptjy001</dc:creator>
  <cp:lastModifiedBy>Administrator</cp:lastModifiedBy>
  <dcterms:modified xsi:type="dcterms:W3CDTF">2018-06-25T07:35:07Z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