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left"/>
        <w:rPr>
          <w:rFonts w:hint="eastAsia" w:ascii="微软雅黑" w:hAnsi="微软雅黑" w:eastAsia="微软雅黑" w:cs="微软雅黑"/>
          <w:b w:val="0"/>
          <w:i w:val="0"/>
          <w:caps w:val="0"/>
          <w:color w:val="454545"/>
          <w:spacing w:val="0"/>
          <w:sz w:val="21"/>
          <w:szCs w:val="21"/>
        </w:rPr>
      </w:pPr>
      <w:r>
        <w:rPr>
          <w:rFonts w:ascii="黑体" w:hAnsi="宋体" w:eastAsia="黑体" w:cs="黑体"/>
          <w:b w:val="0"/>
          <w:i w:val="0"/>
          <w:caps w:val="0"/>
          <w:color w:val="454545"/>
          <w:spacing w:val="0"/>
          <w:sz w:val="31"/>
          <w:szCs w:val="31"/>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b w:val="0"/>
          <w:i w:val="0"/>
          <w:caps w:val="0"/>
          <w:color w:val="454545"/>
          <w:spacing w:val="0"/>
          <w:sz w:val="21"/>
          <w:szCs w:val="21"/>
        </w:rPr>
      </w:pPr>
      <w:bookmarkStart w:id="0" w:name="_GoBack"/>
      <w:r>
        <w:rPr>
          <w:rFonts w:ascii="方正小标宋简体" w:hAnsi="方正小标宋简体" w:eastAsia="方正小标宋简体" w:cs="方正小标宋简体"/>
          <w:b w:val="0"/>
          <w:i w:val="0"/>
          <w:caps w:val="0"/>
          <w:color w:val="454545"/>
          <w:spacing w:val="0"/>
          <w:sz w:val="36"/>
          <w:szCs w:val="36"/>
          <w:bdr w:val="none" w:color="auto" w:sz="0" w:space="0"/>
        </w:rPr>
        <w:t>浙江省乐清中学提前公开招聘2020年新教师岗位一览表</w:t>
      </w:r>
      <w:bookmarkEnd w:id="0"/>
    </w:p>
    <w:tbl>
      <w:tblPr>
        <w:tblW w:w="144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02"/>
        <w:gridCol w:w="1541"/>
        <w:gridCol w:w="847"/>
        <w:gridCol w:w="985"/>
        <w:gridCol w:w="850"/>
        <w:gridCol w:w="1323"/>
        <w:gridCol w:w="6422"/>
        <w:gridCol w:w="1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35" w:hRule="atLeast"/>
        </w:trPr>
        <w:tc>
          <w:tcPr>
            <w:tcW w:w="81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黑体" w:hAnsi="宋体" w:eastAsia="黑体" w:cs="黑体"/>
                <w:b w:val="0"/>
                <w:i w:val="0"/>
                <w:caps w:val="0"/>
                <w:color w:val="454545"/>
                <w:spacing w:val="0"/>
                <w:sz w:val="24"/>
                <w:szCs w:val="24"/>
                <w:bdr w:val="none" w:color="auto" w:sz="0" w:space="0"/>
              </w:rPr>
              <w:t>序号</w:t>
            </w:r>
          </w:p>
        </w:tc>
        <w:tc>
          <w:tcPr>
            <w:tcW w:w="15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黑体" w:hAnsi="宋体" w:eastAsia="黑体" w:cs="黑体"/>
                <w:b w:val="0"/>
                <w:i w:val="0"/>
                <w:caps w:val="0"/>
                <w:color w:val="454545"/>
                <w:spacing w:val="0"/>
                <w:sz w:val="24"/>
                <w:szCs w:val="24"/>
                <w:bdr w:val="none" w:color="auto" w:sz="0" w:space="0"/>
              </w:rPr>
              <w:t>岗位</w:t>
            </w:r>
          </w:p>
        </w:tc>
        <w:tc>
          <w:tcPr>
            <w:tcW w:w="85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黑体" w:hAnsi="宋体" w:eastAsia="黑体" w:cs="黑体"/>
                <w:b w:val="0"/>
                <w:i w:val="0"/>
                <w:caps w:val="0"/>
                <w:color w:val="454545"/>
                <w:spacing w:val="15"/>
                <w:sz w:val="24"/>
                <w:szCs w:val="24"/>
                <w:bdr w:val="none" w:color="auto" w:sz="0" w:space="0"/>
              </w:rPr>
              <w:t>计划数</w:t>
            </w:r>
          </w:p>
        </w:tc>
        <w:tc>
          <w:tcPr>
            <w:tcW w:w="99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黑体" w:hAnsi="宋体" w:eastAsia="黑体" w:cs="黑体"/>
                <w:b w:val="0"/>
                <w:i w:val="0"/>
                <w:caps w:val="0"/>
                <w:color w:val="454545"/>
                <w:spacing w:val="0"/>
                <w:sz w:val="24"/>
                <w:szCs w:val="24"/>
                <w:bdr w:val="none" w:color="auto" w:sz="0" w:space="0"/>
              </w:rPr>
              <w:t>年龄</w:t>
            </w:r>
          </w:p>
        </w:tc>
        <w:tc>
          <w:tcPr>
            <w:tcW w:w="85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黑体" w:hAnsi="宋体" w:eastAsia="黑体" w:cs="黑体"/>
                <w:b w:val="0"/>
                <w:i w:val="0"/>
                <w:caps w:val="0"/>
                <w:color w:val="454545"/>
                <w:spacing w:val="0"/>
                <w:sz w:val="24"/>
                <w:szCs w:val="24"/>
                <w:bdr w:val="none" w:color="auto" w:sz="0" w:space="0"/>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黑体" w:hAnsi="宋体" w:eastAsia="黑体" w:cs="黑体"/>
                <w:b w:val="0"/>
                <w:i w:val="0"/>
                <w:caps w:val="0"/>
                <w:color w:val="454545"/>
                <w:spacing w:val="0"/>
                <w:sz w:val="24"/>
                <w:szCs w:val="24"/>
                <w:bdr w:val="none" w:color="auto" w:sz="0" w:space="0"/>
              </w:rPr>
              <w:t>专业</w:t>
            </w:r>
          </w:p>
        </w:tc>
        <w:tc>
          <w:tcPr>
            <w:tcW w:w="115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黑体" w:hAnsi="宋体" w:eastAsia="黑体" w:cs="黑体"/>
                <w:b w:val="0"/>
                <w:i w:val="0"/>
                <w:caps w:val="0"/>
                <w:color w:val="454545"/>
                <w:spacing w:val="15"/>
                <w:sz w:val="24"/>
                <w:szCs w:val="24"/>
                <w:bdr w:val="none" w:color="auto" w:sz="0" w:space="0"/>
              </w:rPr>
              <w:t>教师资格证</w:t>
            </w:r>
          </w:p>
        </w:tc>
        <w:tc>
          <w:tcPr>
            <w:tcW w:w="652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黑体" w:hAnsi="宋体" w:eastAsia="黑体" w:cs="黑体"/>
                <w:b w:val="0"/>
                <w:i w:val="0"/>
                <w:caps w:val="0"/>
                <w:color w:val="454545"/>
                <w:spacing w:val="0"/>
                <w:sz w:val="24"/>
                <w:szCs w:val="24"/>
                <w:bdr w:val="none" w:color="auto" w:sz="0" w:space="0"/>
              </w:rPr>
              <w:t>资格条件</w:t>
            </w:r>
          </w:p>
        </w:tc>
        <w:tc>
          <w:tcPr>
            <w:tcW w:w="112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黑体" w:hAnsi="宋体" w:eastAsia="黑体" w:cs="黑体"/>
                <w:b w:val="0"/>
                <w:i w:val="0"/>
                <w:caps w:val="0"/>
                <w:color w:val="454545"/>
                <w:spacing w:val="0"/>
                <w:sz w:val="24"/>
                <w:szCs w:val="24"/>
                <w:bdr w:val="none" w:color="auto" w:sz="0" w:space="0"/>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35" w:hRule="atLeast"/>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ascii="仿宋_GB2312" w:hAnsi="微软雅黑" w:eastAsia="仿宋_GB2312" w:cs="仿宋_GB2312"/>
                <w:b w:val="0"/>
                <w:i w:val="0"/>
                <w:caps w:val="0"/>
                <w:color w:val="454545"/>
                <w:spacing w:val="0"/>
                <w:sz w:val="24"/>
                <w:szCs w:val="24"/>
                <w:bdr w:val="none" w:color="auto" w:sz="0" w:space="0"/>
              </w:rPr>
              <w:t>1</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语文</w:t>
            </w: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1</w:t>
            </w:r>
          </w:p>
        </w:tc>
        <w:tc>
          <w:tcPr>
            <w:tcW w:w="99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30周岁以下(1990年1月1日以后出生)，博士放宽至35周岁，有实践经验的竞赛指导师年龄酌情放宽。</w:t>
            </w:r>
          </w:p>
        </w:tc>
        <w:tc>
          <w:tcPr>
            <w:tcW w:w="85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全日制本科及以上，专业对口</w:t>
            </w:r>
          </w:p>
        </w:tc>
        <w:tc>
          <w:tcPr>
            <w:tcW w:w="115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应具有对应的教师资格证，   “C9联盟”高校非师范类毕业生和竞赛指导师报考对象须2022年7月前取得，否则予以解聘，未取得教师资格证前不予转正。</w:t>
            </w:r>
          </w:p>
        </w:tc>
        <w:tc>
          <w:tcPr>
            <w:tcW w:w="652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一、浙江户籍或生源，具备下列条件之一：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（1）持有对应学科的高中教师资格证书、本科阶段须是全日制师范类的硕士（及以上）研究生；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（2）“985”“211”高校2020届师范类本科毕业生（含国家公费师范生）；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（3）全国高等学校师范生教学技能竞赛三等奖及以上或浙江省高等学校师范生教学技能竞赛二等奖及以上获得者；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（4）省级优秀师范类毕业生或浙江师范大学校级优秀师范类毕业生；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（5）浙江师范大学综合素质在各专业前20%的师范类本科毕业生。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二、乐清户籍或生源，具备下列条件之一：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（1）“985”高校毕业生；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（2）浙江省高等学校师范生教学技能竞赛三等奖及以上获得者；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（3）具有对应学科的高中教师资格证书，就读师范类专业期间曾获得校级及以上 “三好学生”“优秀学生干部”荣誉、或获得一次校级一等奖学金及以上或两次校级二等奖学金及以上（每学年限计一次）、或综合素质位居其所读学校同专业前列（浙师大前30%，其他师范类专业前10%）。</w:t>
            </w:r>
          </w:p>
        </w:tc>
        <w:tc>
          <w:tcPr>
            <w:tcW w:w="11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3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应届生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2</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数学</w:t>
            </w: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1</w:t>
            </w:r>
          </w:p>
        </w:tc>
        <w:tc>
          <w:tcPr>
            <w:tcW w:w="990"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652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3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应届生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3</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生物</w:t>
            </w: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1</w:t>
            </w:r>
          </w:p>
        </w:tc>
        <w:tc>
          <w:tcPr>
            <w:tcW w:w="990"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652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3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应届生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4</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政治</w:t>
            </w: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1</w:t>
            </w:r>
          </w:p>
        </w:tc>
        <w:tc>
          <w:tcPr>
            <w:tcW w:w="990"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652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3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应届生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5" w:hRule="atLeast"/>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5</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体育（田径）</w:t>
            </w: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1</w:t>
            </w:r>
          </w:p>
        </w:tc>
        <w:tc>
          <w:tcPr>
            <w:tcW w:w="990"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652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
              <w:jc w:val="left"/>
              <w:rPr>
                <w:sz w:val="21"/>
                <w:szCs w:val="21"/>
              </w:rPr>
            </w:pPr>
            <w:r>
              <w:rPr>
                <w:rFonts w:hint="default" w:ascii="仿宋_GB2312" w:hAnsi="微软雅黑" w:eastAsia="仿宋_GB2312" w:cs="仿宋_GB2312"/>
                <w:b w:val="0"/>
                <w:i w:val="0"/>
                <w:caps w:val="0"/>
                <w:color w:val="454545"/>
                <w:spacing w:val="0"/>
                <w:sz w:val="18"/>
                <w:szCs w:val="18"/>
                <w:bdr w:val="none" w:color="auto" w:sz="0" w:space="0"/>
              </w:rPr>
              <w:t>应届生，须国家一级远动员（田径），乐清户籍放宽到国家二级运动员（田径）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6</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数学竞赛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指导师</w:t>
            </w: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1</w:t>
            </w:r>
          </w:p>
        </w:tc>
        <w:tc>
          <w:tcPr>
            <w:tcW w:w="990"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652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户籍不限，具备下列条件之一：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（1）高中学习期间有相应学科竞赛获省一等奖经历且能提供获奖证明；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（2）大学或硕士学习期间有竞赛方面经历且能提供获奖证明；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left"/>
              <w:rPr>
                <w:sz w:val="21"/>
                <w:szCs w:val="21"/>
              </w:rPr>
            </w:pPr>
            <w:r>
              <w:rPr>
                <w:rFonts w:hint="default" w:ascii="仿宋_GB2312" w:hAnsi="微软雅黑" w:eastAsia="仿宋_GB2312" w:cs="仿宋_GB2312"/>
                <w:b w:val="0"/>
                <w:i w:val="0"/>
                <w:caps w:val="0"/>
                <w:color w:val="454545"/>
                <w:spacing w:val="0"/>
                <w:sz w:val="21"/>
                <w:szCs w:val="21"/>
                <w:bdr w:val="none" w:color="auto" w:sz="0" w:space="0"/>
              </w:rPr>
              <w:t>（3）参加工作后作为指导师指导学生参加相应学科的全国联赛获省级二等奖及上经历且能提供指导证明。</w:t>
            </w:r>
          </w:p>
        </w:tc>
        <w:tc>
          <w:tcPr>
            <w:tcW w:w="112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3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应历届都可，优绩优酬。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7</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物理竞赛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指导师</w:t>
            </w: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1</w:t>
            </w:r>
          </w:p>
        </w:tc>
        <w:tc>
          <w:tcPr>
            <w:tcW w:w="990"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652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2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8</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化学竞赛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指导师</w:t>
            </w:r>
          </w:p>
        </w:tc>
        <w:tc>
          <w:tcPr>
            <w:tcW w:w="85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1</w:t>
            </w:r>
          </w:p>
        </w:tc>
        <w:tc>
          <w:tcPr>
            <w:tcW w:w="990"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5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652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25" w:type="dxa"/>
            <w:vMerge w:val="continue"/>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4445" w:type="dxa"/>
            <w:gridSpan w:val="8"/>
            <w:tcBorders>
              <w:top w:val="nil"/>
              <w:left w:val="nil"/>
              <w:bottom w:val="nil"/>
              <w:right w:val="nil"/>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50" w:right="0"/>
              <w:jc w:val="left"/>
              <w:rPr>
                <w:sz w:val="21"/>
                <w:szCs w:val="21"/>
              </w:rPr>
            </w:pPr>
            <w:r>
              <w:rPr>
                <w:rFonts w:hint="default" w:ascii="仿宋_GB2312" w:hAnsi="微软雅黑" w:eastAsia="仿宋_GB2312" w:cs="仿宋_GB2312"/>
                <w:b w:val="0"/>
                <w:i w:val="0"/>
                <w:caps w:val="0"/>
                <w:color w:val="454545"/>
                <w:spacing w:val="0"/>
                <w:sz w:val="24"/>
                <w:szCs w:val="24"/>
                <w:bdr w:val="none" w:color="auto" w:sz="0" w:space="0"/>
              </w:rPr>
              <w:t>说明:本表应届生指2020届的全日制普通高校毕业生,持海外学历（经留学部门学历认证）毕业时间为2018年11月至2019年11月且尚未就业的毕业生视同为应届生。</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573A4"/>
    <w:rsid w:val="56457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2019-11-07T09:27:00Z</dcterms:created>
  <dc:creator>Administrator</dc:creator>
  <cp:lastModifiedBy>Administrator</cp:lastModifiedBy>
  <dcterms:modified xsi:type="dcterms:W3CDTF">2019-11-07T09:28:24Z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