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4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452"/>
        <w:gridCol w:w="1220"/>
        <w:gridCol w:w="542"/>
        <w:gridCol w:w="1220"/>
        <w:gridCol w:w="2997"/>
        <w:gridCol w:w="949"/>
        <w:gridCol w:w="10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gridAfter w:val="6"/>
        </w:trPr>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333333"/>
                <w:spacing w:val="0"/>
                <w:kern w:val="0"/>
                <w:sz w:val="24"/>
                <w:szCs w:val="24"/>
                <w:bdr w:val="none" w:color="auto" w:sz="0" w:space="0"/>
                <w:lang w:val="en-US" w:eastAsia="zh-CN" w:bidi="ar"/>
              </w:rPr>
              <w:t>序号</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333333"/>
                <w:spacing w:val="0"/>
                <w:kern w:val="0"/>
                <w:sz w:val="24"/>
                <w:szCs w:val="24"/>
                <w:bdr w:val="none" w:color="auto" w:sz="0" w:space="0"/>
                <w:lang w:val="en-US" w:eastAsia="zh-CN" w:bidi="ar"/>
              </w:rPr>
              <w:t>岗位</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333333"/>
                <w:spacing w:val="0"/>
                <w:kern w:val="0"/>
                <w:sz w:val="24"/>
                <w:szCs w:val="24"/>
                <w:bdr w:val="none" w:color="auto" w:sz="0" w:space="0"/>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333333"/>
                <w:spacing w:val="0"/>
                <w:kern w:val="0"/>
                <w:sz w:val="24"/>
                <w:szCs w:val="24"/>
                <w:bdr w:val="none" w:color="auto" w:sz="0" w:space="0"/>
                <w:lang w:val="en-US" w:eastAsia="zh-CN" w:bidi="ar"/>
              </w:rPr>
              <w:t>数</w:t>
            </w:r>
          </w:p>
        </w:tc>
        <w:tc>
          <w:tcPr>
            <w:tcW w:w="121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333333"/>
                <w:spacing w:val="0"/>
                <w:kern w:val="0"/>
                <w:sz w:val="24"/>
                <w:szCs w:val="24"/>
                <w:bdr w:val="none" w:color="auto" w:sz="0" w:space="0"/>
                <w:lang w:val="en-US" w:eastAsia="zh-CN" w:bidi="ar"/>
              </w:rPr>
              <w:t>年龄</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333333"/>
                <w:spacing w:val="0"/>
                <w:kern w:val="0"/>
                <w:sz w:val="24"/>
                <w:szCs w:val="24"/>
                <w:bdr w:val="none" w:color="auto" w:sz="0" w:space="0"/>
                <w:lang w:val="en-US" w:eastAsia="zh-CN" w:bidi="ar"/>
              </w:rPr>
              <w:t>基本条件</w:t>
            </w:r>
          </w:p>
        </w:tc>
        <w:tc>
          <w:tcPr>
            <w:tcW w:w="94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333333"/>
                <w:spacing w:val="0"/>
                <w:kern w:val="0"/>
                <w:sz w:val="24"/>
                <w:szCs w:val="24"/>
                <w:bdr w:val="none" w:color="auto" w:sz="0" w:space="0"/>
                <w:lang w:val="en-US" w:eastAsia="zh-CN" w:bidi="ar"/>
              </w:rPr>
              <w:t>待遇</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333333"/>
                <w:spacing w:val="0"/>
                <w:kern w:val="0"/>
                <w:sz w:val="24"/>
                <w:szCs w:val="24"/>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城市轨道交通运输与管理专业教师</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6</w:t>
            </w:r>
          </w:p>
        </w:tc>
        <w:tc>
          <w:tcPr>
            <w:tcW w:w="1215"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40周岁以下（1980年7月1日以后出生，有中级以上职称的年龄可适当放宽）。</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城市轨道交通工程技术、轨道交通信号与控制、</w:t>
            </w:r>
            <w:r>
              <w:rPr>
                <w:rFonts w:ascii="Calibri" w:hAnsi="Calibri" w:eastAsia="微软雅黑" w:cs="Calibri"/>
                <w:i w:val="0"/>
                <w:caps w:val="0"/>
                <w:color w:val="333333"/>
                <w:spacing w:val="0"/>
                <w:kern w:val="0"/>
                <w:sz w:val="21"/>
                <w:szCs w:val="21"/>
                <w:u w:val="none"/>
                <w:bdr w:val="none" w:color="auto" w:sz="0" w:space="0"/>
                <w:lang w:val="en-US" w:eastAsia="zh-CN" w:bidi="ar"/>
              </w:rPr>
              <w:fldChar w:fldCharType="begin"/>
            </w:r>
            <w:r>
              <w:rPr>
                <w:rFonts w:ascii="Calibri" w:hAnsi="Calibri" w:eastAsia="微软雅黑" w:cs="Calibri"/>
                <w:i w:val="0"/>
                <w:caps w:val="0"/>
                <w:color w:val="333333"/>
                <w:spacing w:val="0"/>
                <w:kern w:val="0"/>
                <w:sz w:val="21"/>
                <w:szCs w:val="21"/>
                <w:u w:val="none"/>
                <w:bdr w:val="none" w:color="auto" w:sz="0" w:space="0"/>
                <w:lang w:val="en-US" w:eastAsia="zh-CN" w:bidi="ar"/>
              </w:rPr>
              <w:instrText xml:space="preserve"> HYPERLINK "https://www.baidu.com/s?wd=%E7%94%B5%E5%AD%90%E4%BF%A1%E6%81%AF%E5%B7%A5%E7%A8%8B&amp;tn=44039180_cpr&amp;fenlei=mv6quAkxTZn0IZRqIHckPjm4nH00T1YLryPBPvFWPWI-rjDdmv790ZwV5Hcvrjm3rH6sPfKWUMw85HfYnjn4nH6sgvPsT6KdThsqpZwYTjCEQLGCpyw9Uz4Bmy-bIi4WUvYETgN-TLwGUv3EnHRYPj04nW6kPHbvnHmdn1cvPs" </w:instrText>
            </w:r>
            <w:r>
              <w:rPr>
                <w:rFonts w:ascii="Calibri" w:hAnsi="Calibri" w:eastAsia="微软雅黑" w:cs="Calibri"/>
                <w:i w:val="0"/>
                <w:caps w:val="0"/>
                <w:color w:val="333333"/>
                <w:spacing w:val="0"/>
                <w:kern w:val="0"/>
                <w:sz w:val="21"/>
                <w:szCs w:val="21"/>
                <w:u w:val="none"/>
                <w:bdr w:val="none" w:color="auto" w:sz="0" w:space="0"/>
                <w:lang w:val="en-US" w:eastAsia="zh-CN" w:bidi="ar"/>
              </w:rPr>
              <w:fldChar w:fldCharType="separate"/>
            </w:r>
            <w:r>
              <w:rPr>
                <w:rStyle w:val="4"/>
                <w:rFonts w:hint="default" w:ascii="Calibri" w:hAnsi="Calibri" w:eastAsia="微软雅黑" w:cs="Calibri"/>
                <w:i w:val="0"/>
                <w:caps w:val="0"/>
                <w:color w:val="333333"/>
                <w:spacing w:val="0"/>
                <w:sz w:val="21"/>
                <w:szCs w:val="21"/>
                <w:u w:val="none"/>
                <w:bdr w:val="none" w:color="auto" w:sz="0" w:space="0"/>
              </w:rPr>
              <w:t>电子信息工程</w:t>
            </w:r>
            <w:r>
              <w:rPr>
                <w:rFonts w:hint="default" w:ascii="Calibri" w:hAnsi="Calibri" w:eastAsia="微软雅黑" w:cs="Calibri"/>
                <w:i w:val="0"/>
                <w:caps w:val="0"/>
                <w:color w:val="333333"/>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（城市轨道交通通信信号）专业、轨道交通管理与服务专业、安全防范技术专业大学专科及以上学历，能胜任城市轨道交通运输与管理专业课程的理论与技能实操一体化教学工作</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 w:right="0"/>
              <w:jc w:val="left"/>
            </w:pPr>
            <w:r>
              <w:rPr>
                <w:rFonts w:hint="eastAsia" w:ascii="宋体" w:hAnsi="宋体" w:eastAsia="宋体" w:cs="宋体"/>
                <w:b/>
                <w:i w:val="0"/>
                <w:caps w:val="0"/>
                <w:color w:val="333333"/>
                <w:spacing w:val="0"/>
                <w:kern w:val="0"/>
                <w:sz w:val="21"/>
                <w:szCs w:val="21"/>
                <w:bdr w:val="none" w:color="auto" w:sz="0" w:space="0"/>
                <w:lang w:val="en-US" w:eastAsia="zh-CN" w:bidi="ar"/>
              </w:rPr>
              <w:t>工资待遇：</w:t>
            </w:r>
            <w:r>
              <w:rPr>
                <w:rFonts w:hint="eastAsia" w:ascii="宋体" w:hAnsi="宋体" w:eastAsia="宋体" w:cs="宋体"/>
                <w:i w:val="0"/>
                <w:caps w:val="0"/>
                <w:color w:val="333333"/>
                <w:spacing w:val="0"/>
                <w:kern w:val="0"/>
                <w:sz w:val="21"/>
                <w:szCs w:val="21"/>
                <w:bdr w:val="none" w:color="auto" w:sz="0" w:space="0"/>
                <w:lang w:val="en-US" w:eastAsia="zh-CN" w:bidi="ar"/>
              </w:rPr>
              <w:t>参照广西人事部门制定的事业单位工作人员的工资标准执行。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 w:right="0"/>
              <w:jc w:val="left"/>
            </w:pPr>
            <w:r>
              <w:rPr>
                <w:rFonts w:hint="eastAsia" w:ascii="宋体" w:hAnsi="宋体" w:eastAsia="宋体" w:cs="宋体"/>
                <w:b/>
                <w:i w:val="0"/>
                <w:caps w:val="0"/>
                <w:color w:val="333333"/>
                <w:spacing w:val="0"/>
                <w:kern w:val="0"/>
                <w:sz w:val="21"/>
                <w:szCs w:val="21"/>
                <w:bdr w:val="none" w:color="auto" w:sz="0" w:space="0"/>
                <w:lang w:val="en-US" w:eastAsia="zh-CN" w:bidi="ar"/>
              </w:rPr>
              <w:t>福利待遇：</w:t>
            </w:r>
            <w:r>
              <w:rPr>
                <w:rFonts w:hint="eastAsia" w:ascii="宋体" w:hAnsi="宋体" w:eastAsia="宋体" w:cs="宋体"/>
                <w:i w:val="0"/>
                <w:caps w:val="0"/>
                <w:color w:val="333333"/>
                <w:spacing w:val="0"/>
                <w:kern w:val="0"/>
                <w:sz w:val="21"/>
                <w:szCs w:val="21"/>
                <w:bdr w:val="none" w:color="auto" w:sz="0" w:space="0"/>
                <w:lang w:val="en-US" w:eastAsia="zh-CN" w:bidi="ar"/>
              </w:rPr>
              <w:t>正式聘用期间按自治区人社部门的规定办理相关保险；其他待遇按学校有关规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定执行</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有下列条件之一者在同等条件下优先录用：1.有中职学校教师资格证或教师上岗证者；2.有相关企业工作经验者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汽车电器维修专业教师</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3</w:t>
            </w:r>
          </w:p>
        </w:tc>
        <w:tc>
          <w:tcPr>
            <w:tcW w:w="12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汽车制造与装配技术、汽车检测与维修技术、汽车电子技术、新能源汽车技术、车辆工程、汽车维修工程教育专业大学本科及以上学历，能胜任汽车电器维修专业课程的理论与实操一体化教学工作</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3</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空调与制冷设备运用及维修专业教师</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3</w:t>
            </w:r>
          </w:p>
        </w:tc>
        <w:tc>
          <w:tcPr>
            <w:tcW w:w="1215"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35周岁以下（1985年7月1日以后出生，有中级以上职称的年龄可适当放宽）。</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空调与制冷设备运用及维修专业或相关专业大学本科及以上学历，能胜任空调与制冷设备运用及维修专业课程的理论与实操一体化教学工作</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4</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新能源汽车运用与维修专业教师</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3</w:t>
            </w:r>
          </w:p>
        </w:tc>
        <w:tc>
          <w:tcPr>
            <w:tcW w:w="12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新能源汽车运用与维修、汽车制造与装配技术、汽车检测与维修技术、汽车电子技术、车辆工程、汽车维修工程教育专业大学本科及以上学历，能胜任新能源汽车运用与维修专业课程的理论与实操一体化教学工作</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5</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工业机器人应用与维修专业教师</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3</w:t>
            </w:r>
          </w:p>
        </w:tc>
        <w:tc>
          <w:tcPr>
            <w:tcW w:w="12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工业机器人应用与维修、机电一体化、自动化、机械自动化、电气工程与自动化、电气工程及自动化、工业电气自动化、电气工程与智能控制、测控技术与仪器、电子信息工程技术、电子技术应用等专业大学本科及以上学历，能胜任工业机器人应用与维修专业课程的理论与实操一体化教学工作</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6</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现代物流教师</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1</w:t>
            </w:r>
          </w:p>
        </w:tc>
        <w:tc>
          <w:tcPr>
            <w:tcW w:w="12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现代物流专业大学本科及以上学历，能胜任现代物流、货运代理等专业课程的教学工作</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有下列条件之一者在同等条件下优先录用：1.有中职学校教师资格证或教师上岗证者；2.有相关企业工作经验者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7</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计算机网络技术应用专业教师</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2</w:t>
            </w:r>
          </w:p>
        </w:tc>
        <w:tc>
          <w:tcPr>
            <w:tcW w:w="12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计算机网络技术应用专业大学本科及以上学历，能胜任计算机网络技术应用专业的网络布线、网络安全、企业网络搭建课程理论与实操一体化教学工作</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8</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电子商务专业教师</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3</w:t>
            </w:r>
          </w:p>
        </w:tc>
        <w:tc>
          <w:tcPr>
            <w:tcW w:w="12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电子商务、国际贸易等专业大学本科及以上学历，能胜任电子商务专业的跨境电子商务专业课程的理论与实操一体化教学工作 </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9</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酒店管理与服务专业教师</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2</w:t>
            </w:r>
          </w:p>
        </w:tc>
        <w:tc>
          <w:tcPr>
            <w:tcW w:w="1215"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35周岁以下（1985年7月1日以后出生，有中级以上职称的年龄可适当放宽）。</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酒店管理与服务专业大学本科及以上学历，能胜任酒店管理与服务专业课程（包括调酒、咖啡等）的理论与实操一体化教学工作</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10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美术老师</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1</w:t>
            </w:r>
          </w:p>
        </w:tc>
        <w:tc>
          <w:tcPr>
            <w:tcW w:w="12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美术及相关专业大学本科及以上学历，能胜任学前教育专业、计算机广告制作专业的美术课程理论与实操一体化教学工作</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11</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数学教师</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2</w:t>
            </w:r>
          </w:p>
        </w:tc>
        <w:tc>
          <w:tcPr>
            <w:tcW w:w="12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数学及相关专业大学本科及以上学历，具有高中或中职学校教师资格证书，能胜任中职学校数学教学任务</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pPr>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12</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电子商务专业实训室管理员</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1</w:t>
            </w:r>
          </w:p>
        </w:tc>
        <w:tc>
          <w:tcPr>
            <w:tcW w:w="1215"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30周岁以下（1990年7月1日以后出生，具有中级职称的年龄可适当放宽。</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电子商务专业大学本科及以上学历，能胜任电子商务专业实训室管理与技能实操教学工作</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108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rPr>
                <w:rFonts w:hint="eastAsia" w:ascii="微软雅黑" w:hAnsi="微软雅黑" w:eastAsia="微软雅黑" w:cs="微软雅黑"/>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13</w:t>
            </w:r>
          </w:p>
        </w:tc>
        <w:tc>
          <w:tcPr>
            <w:tcW w:w="12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信息与网络服务中心网络管理干事</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1</w:t>
            </w:r>
          </w:p>
        </w:tc>
        <w:tc>
          <w:tcPr>
            <w:tcW w:w="12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pPr>
              <w:rPr>
                <w:rFonts w:hint="eastAsia" w:ascii="微软雅黑" w:hAnsi="微软雅黑" w:eastAsia="微软雅黑" w:cs="微软雅黑"/>
                <w:i w:val="0"/>
                <w:caps w:val="0"/>
                <w:color w:val="333333"/>
                <w:spacing w:val="0"/>
                <w:sz w:val="21"/>
                <w:szCs w:val="21"/>
              </w:rPr>
            </w:pP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计算机科学与技术、软件工程、网络工程、信息安全、网络安间安全、信息与计算科学、网络空间安全、电子与计算机工程等专业大学本科及以上学历。能胜任大型校园网络（华为设备为主）的管理工作，包括校园网络配置与实名认证收费系统、华为Esign网管系统、华为无线管理系统、机房服务器vsphere虚拟机平台、校园大数据中心等多个信息化系统的运维管理，以及学校机房网络建设管理工作。</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1"/>
                <w:szCs w:val="21"/>
              </w:rPr>
            </w:pPr>
          </w:p>
        </w:tc>
        <w:tc>
          <w:tcPr>
            <w:tcW w:w="108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kern w:val="0"/>
                <w:sz w:val="21"/>
                <w:szCs w:val="21"/>
                <w:bdr w:val="none" w:color="auto" w:sz="0" w:space="0"/>
                <w:lang w:val="en-US" w:eastAsia="zh-CN" w:bidi="ar"/>
              </w:rPr>
              <w:t>具备网络工程师及以上技术等级证、华为、思科或华三中级以上网络等级认证的在同等条件下优先录用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665"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333333"/>
                <w:spacing w:val="0"/>
                <w:kern w:val="0"/>
                <w:sz w:val="21"/>
                <w:szCs w:val="21"/>
                <w:bdr w:val="none" w:color="auto" w:sz="0" w:space="0"/>
                <w:lang w:val="en-US" w:eastAsia="zh-CN" w:bidi="ar"/>
              </w:rPr>
              <w:t>合计</w:t>
            </w:r>
          </w:p>
        </w:tc>
        <w:tc>
          <w:tcPr>
            <w:tcW w:w="5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 w:right="0"/>
              <w:jc w:val="center"/>
            </w:pPr>
            <w:r>
              <w:rPr>
                <w:rFonts w:hint="eastAsia" w:ascii="宋体" w:hAnsi="宋体" w:eastAsia="宋体" w:cs="宋体"/>
                <w:i w:val="0"/>
                <w:caps w:val="0"/>
                <w:color w:val="333333"/>
                <w:spacing w:val="0"/>
                <w:kern w:val="0"/>
                <w:sz w:val="21"/>
                <w:szCs w:val="21"/>
                <w:bdr w:val="none" w:color="auto" w:sz="0" w:space="0"/>
                <w:lang w:val="en-US" w:eastAsia="zh-CN" w:bidi="ar"/>
              </w:rPr>
              <w:t>31</w:t>
            </w:r>
          </w:p>
        </w:tc>
        <w:tc>
          <w:tcPr>
            <w:tcW w:w="121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pPr>
              <w:rPr>
                <w:rFonts w:hint="eastAsia" w:ascii="微软雅黑" w:hAnsi="微软雅黑" w:eastAsia="微软雅黑" w:cs="微软雅黑"/>
                <w:i w:val="0"/>
                <w:caps w:val="0"/>
                <w:color w:val="333333"/>
                <w:spacing w:val="0"/>
                <w:sz w:val="21"/>
                <w:szCs w:val="21"/>
              </w:rPr>
            </w:pP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top"/>
          </w:tcPr>
          <w:p>
            <w:pPr>
              <w:rPr>
                <w:rFonts w:hint="eastAsia" w:ascii="微软雅黑" w:hAnsi="微软雅黑" w:eastAsia="微软雅黑" w:cs="微软雅黑"/>
                <w:i w:val="0"/>
                <w:caps w:val="0"/>
                <w:color w:val="333333"/>
                <w:spacing w:val="0"/>
                <w:sz w:val="21"/>
                <w:szCs w:val="21"/>
              </w:rPr>
            </w:pP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333333"/>
                <w:spacing w:val="0"/>
                <w:sz w:val="21"/>
                <w:szCs w:val="21"/>
              </w:rPr>
            </w:pP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caps w:val="0"/>
                <w:color w:val="333333"/>
                <w:spacing w:val="0"/>
                <w:sz w:val="21"/>
                <w:szCs w:val="21"/>
              </w:rPr>
            </w:pP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B00C5"/>
    <w:rsid w:val="604B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2020-04-13T09:20:00Z</dcterms:created>
  <dc:creator>秋叶夏花</dc:creator>
  <cp:lastModifiedBy>秋叶夏花</cp:lastModifiedBy>
  <dcterms:modified xsi:type="dcterms:W3CDTF">2020-04-13T09:21:00Z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