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45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color w:val="282828"/>
          <w:sz w:val="32"/>
          <w:szCs w:val="32"/>
          <w:shd w:val="clear" w:fill="FFFFFF"/>
        </w:rPr>
        <w:t>人才类别及相关待遇</w:t>
      </w:r>
    </w:p>
    <w:tbl>
      <w:tblPr>
        <w:tblW w:w="1127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16"/>
        <w:gridCol w:w="4924"/>
        <w:gridCol w:w="1800"/>
        <w:gridCol w:w="24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0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</w:rPr>
              <w:t>人才层次</w:t>
            </w:r>
          </w:p>
        </w:tc>
        <w:tc>
          <w:tcPr>
            <w:tcW w:w="49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</w:rPr>
              <w:t>相关条件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</w:rPr>
              <w:t>购房补贴(含安家费)</w:t>
            </w:r>
          </w:p>
        </w:tc>
        <w:tc>
          <w:tcPr>
            <w:tcW w:w="2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</w:rPr>
              <w:t>科研启动经费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第1类人才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A类</w:t>
            </w:r>
          </w:p>
        </w:tc>
        <w:tc>
          <w:tcPr>
            <w:tcW w:w="4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具备下列条件之一：中国科学院或中国工程院院士；海外著名学术机构的外籍院士。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200～300万元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首聘年薪100万元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理工科：700～1000万元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文  科：200～300万元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B类</w:t>
            </w:r>
          </w:p>
        </w:tc>
        <w:tc>
          <w:tcPr>
            <w:tcW w:w="4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具备下列条件之一：国家“973”计划项目首席科学家；国家“863”计划重大项目负责人；国家杰出青年科学基金、国家级教学名师奖等国家重要人才平台的入选者；国家自然科学一等奖个人排名前七、二等奖排名前五，国家技术发明、科技进步一等奖排名前五、二等奖排名前三的获奖者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150～180万元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首聘年薪45万元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理工科：300～600万元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文  科：200～300万元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C类</w:t>
            </w:r>
          </w:p>
        </w:tc>
        <w:tc>
          <w:tcPr>
            <w:tcW w:w="4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具备下列条件之一：全国杰出专业技术人才；教育部“新世纪优秀人才支持计划”入选者；全国宣传文化系统“四个一批”人才；中国青年科技奖获得者；省学术和技术带头人等省级重要人才平台入选者；国家“973”计划课题，或国家“863”计划重大专项，或国家自然科学基金重大研究项目，或国家社会科学基金重大项目，或国家科技支撑计划重大项目，或国家科技重大专项项目负责人；国家重点实验室主任，或国家工程研究中心主任；获得省（部）级自然科学、技术发明、科技进步一等奖（前三）或二等奖（第一）；获得中国高校人文社会科学成果奖一等奖（前三）或二等奖（第一）；中国青年科技奖获得者；获得国家教学成果奖特等奖（前五）或一等奖（前三）或二等奖（第一）；获得国家社会科学基金项目优秀成果奖一等奖（前二）或二等奖（第一）等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80～100万元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首聘年薪30万元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理工科：100～200万元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文  科：50～100万元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第2类人才（教授+博士）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紧缺专业</w:t>
            </w:r>
          </w:p>
        </w:tc>
        <w:tc>
          <w:tcPr>
            <w:tcW w:w="49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具省级学术技术带头人后备人选，且近五年内具备下列条件之一：主持过国家级科研项目或省级重点科研项目，或省（部）级自然科学、技术发明、科技进步一等奖（前五）或二等奖（前二）获得者；中国高校人文社科成果奖一等奖（前五）或二等奖（前二）获得者；中国青年科技奖获得者；国家教学成果奖特等奖（前六）或一等奖（前四）或二等奖（前二）获得者；国家社科基金项目优秀成果奖一等奖（前四）或二等奖（前二）科研奖励获得者；近三年在本学科权威期刊上发表论文3 篇及以上。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100万元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理工科：60万元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文  科：30万元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一般专业</w:t>
            </w:r>
          </w:p>
        </w:tc>
        <w:tc>
          <w:tcPr>
            <w:tcW w:w="49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60万元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理工科：40万元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文  科：20万元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第3类人才（教授）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紧缺专业</w:t>
            </w:r>
          </w:p>
        </w:tc>
        <w:tc>
          <w:tcPr>
            <w:tcW w:w="49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具备下列条件之一：主持过国家级科研项目或省级重点科研项目，或省（部）级自然科学、技术发明、科技进步一等奖（前五）或二等奖（前二）获得者；中国高校人文社科成果奖一等奖（前五）或二等奖（前二）获得者；中国青年科技奖获得者；国家教学成果奖特等奖（前六）或一等奖（前四）或二等奖（前二）获得者；国家社科基金项目优秀成果奖一等奖（前四）或二等奖（前二）科研奖励获得者；近三年在本学科权威期刊上发表论文3 篇及以上。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70万元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理工科：40万元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文  科：20万元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一般专业</w:t>
            </w:r>
          </w:p>
        </w:tc>
        <w:tc>
          <w:tcPr>
            <w:tcW w:w="49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45万元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理工科：20万元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文  科：15万元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第4类人才（副教授+博士）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紧缺专业</w:t>
            </w:r>
          </w:p>
        </w:tc>
        <w:tc>
          <w:tcPr>
            <w:tcW w:w="49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近五年内具备下列条件之一：主持或参与1项以上国家级科研项目（排名前三）；或主持1项以上省级重点科研项目；或获得过省部级一等奖（前八）、二等奖（前五）、三等奖（前二）科研成果奖。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50万元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理工科：20万元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文  科：15万元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一般专业</w:t>
            </w:r>
          </w:p>
        </w:tc>
        <w:tc>
          <w:tcPr>
            <w:tcW w:w="49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35万元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理工科：15万元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文  科：10万元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第5类人才（博士）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A类</w:t>
            </w:r>
          </w:p>
        </w:tc>
        <w:tc>
          <w:tcPr>
            <w:tcW w:w="4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毕业于中科院、“985”或“211”高校，具备下列条件之一：参与1项以上国家级科研项目（排名前三）；或主持1项以上省级科研项目；或为海外博士；或以第一作者（自然科学类）在本学科发表SCI 一区论文1 篇及以上，或SCI 二区论文3 篇及以上，或SCI、EI 收录论文5 篇及以上（不含会议论文）；或以第一作者（哲学社会科学类类）在本学科发表SSCI 或A&amp;HCI 或新华文摘（全文）论文1 篇及以上，或发表CSSCI 核心期刊来源论文3篇及以上。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50万元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理工科：15万元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文  科：8万元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B类</w:t>
            </w:r>
          </w:p>
        </w:tc>
        <w:tc>
          <w:tcPr>
            <w:tcW w:w="4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毕业于中科院、“985”或“211”高校，具备下列条件之一：所学专业为我校紧缺专业；或以第一作者（哲学社会科学类类）在本学科发表CSSCI 核心期刊来源论文3 篇及以上；或以第一作者（自然科学类）在本学科发表SCI二区论文1 篇及以上，或SCI、EI 收录论文3 篇及以上（不含会议论文）。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30万元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理工科：10万元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文  科：5万元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C类</w:t>
            </w:r>
          </w:p>
        </w:tc>
        <w:tc>
          <w:tcPr>
            <w:tcW w:w="4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A类和B类博士引进条件以外的博士。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20万元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理工科：5万元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文  科：3万元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450" w:afterAutospacing="0" w:line="600" w:lineRule="atLeast"/>
        <w:ind w:left="0" w:right="0" w:firstLine="55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282828"/>
          <w:sz w:val="32"/>
          <w:szCs w:val="32"/>
          <w:shd w:val="clear" w:fill="FFFFFF"/>
        </w:rPr>
        <w:t>备注：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50" w:afterAutospacing="0" w:line="600" w:lineRule="atLeast"/>
        <w:ind w:left="0" w:right="0" w:firstLine="55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282828"/>
          <w:sz w:val="32"/>
          <w:szCs w:val="32"/>
          <w:shd w:val="clear" w:fill="FFFFFF"/>
        </w:rPr>
        <w:t>1.对一些特别优秀的人才或团队，凡在上述表格中没有具体明确的，可在引进过程中，结合上级及学校有关文件规定，实行“一人一议，待遇面议”的政策。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50" w:afterAutospacing="0" w:line="600" w:lineRule="atLeast"/>
        <w:ind w:left="0" w:right="0" w:firstLine="55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282828"/>
          <w:sz w:val="32"/>
          <w:szCs w:val="32"/>
          <w:shd w:val="clear" w:fill="FFFFFF"/>
        </w:rPr>
        <w:t>2.具有博士学位人员聘期内3年按照校内副教授人员标准享受相应绩效工资待遇，配偶具有硕士研究生学历及学位的可以人事代理身份安排工作，夫妻同进同出，协调解决子女入学问题。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50" w:afterAutospacing="0" w:line="600" w:lineRule="atLeast"/>
        <w:ind w:left="0" w:right="0" w:firstLine="55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282828"/>
          <w:sz w:val="32"/>
          <w:szCs w:val="32"/>
          <w:shd w:val="clear" w:fill="FFFFFF"/>
        </w:rPr>
        <w:t>3.紧缺专业：机械工程类、电子与电气类、计算机类、安全工程类、工业设计类、交通运输类。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925FD"/>
    <w:rsid w:val="532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TML Typewriter"/>
    <w:basedOn w:val="4"/>
    <w:uiPriority w:val="0"/>
    <w:rPr>
      <w:bdr w:val="none" w:color="auto" w:sz="0" w:space="0"/>
    </w:rPr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over"/>
    <w:basedOn w:val="4"/>
    <w:uiPriority w:val="0"/>
    <w:rPr>
      <w:color w:val="B60000"/>
    </w:rPr>
  </w:style>
  <w:style w:type="character" w:customStyle="1" w:styleId="15">
    <w:name w:val="left"/>
    <w:basedOn w:val="4"/>
    <w:uiPriority w:val="0"/>
  </w:style>
  <w:style w:type="character" w:customStyle="1" w:styleId="16">
    <w:name w:val="c3"/>
    <w:basedOn w:val="4"/>
    <w:uiPriority w:val="0"/>
    <w:rPr>
      <w:bdr w:val="none" w:color="auto" w:sz="0" w:space="0"/>
    </w:rPr>
  </w:style>
  <w:style w:type="character" w:customStyle="1" w:styleId="17">
    <w:name w:val="starting"/>
    <w:basedOn w:val="4"/>
    <w:uiPriority w:val="0"/>
    <w:rPr>
      <w:color w:val="339900"/>
    </w:rPr>
  </w:style>
  <w:style w:type="character" w:customStyle="1" w:styleId="18">
    <w:name w:val="starting1"/>
    <w:basedOn w:val="4"/>
    <w:uiPriority w:val="0"/>
    <w:rPr>
      <w:color w:val="339900"/>
    </w:rPr>
  </w:style>
  <w:style w:type="character" w:customStyle="1" w:styleId="19">
    <w:name w:val="nostart"/>
    <w:basedOn w:val="4"/>
    <w:uiPriority w:val="0"/>
    <w:rPr>
      <w:color w:val="FF0000"/>
    </w:rPr>
  </w:style>
  <w:style w:type="character" w:customStyle="1" w:styleId="20">
    <w:name w:val="nostart1"/>
    <w:basedOn w:val="4"/>
    <w:uiPriority w:val="0"/>
    <w:rPr>
      <w:color w:val="FF0000"/>
    </w:rPr>
  </w:style>
  <w:style w:type="character" w:customStyle="1" w:styleId="21">
    <w:name w:val="interview-names"/>
    <w:basedOn w:val="4"/>
    <w:uiPriority w:val="0"/>
  </w:style>
  <w:style w:type="character" w:customStyle="1" w:styleId="22">
    <w:name w:val="c1"/>
    <w:basedOn w:val="4"/>
    <w:uiPriority w:val="0"/>
    <w:rPr>
      <w:bdr w:val="none" w:color="auto" w:sz="0" w:space="0"/>
    </w:rPr>
  </w:style>
  <w:style w:type="character" w:customStyle="1" w:styleId="23">
    <w:name w:val="c2"/>
    <w:basedOn w:val="4"/>
    <w:uiPriority w:val="0"/>
    <w:rPr>
      <w:bdr w:val="none" w:color="auto" w:sz="0" w:space="0"/>
    </w:rPr>
  </w:style>
  <w:style w:type="character" w:customStyle="1" w:styleId="24">
    <w:name w:val="msg-box6"/>
    <w:basedOn w:val="4"/>
    <w:uiPriority w:val="0"/>
  </w:style>
  <w:style w:type="character" w:customStyle="1" w:styleId="25">
    <w:name w:val="bt"/>
    <w:basedOn w:val="4"/>
    <w:uiPriority w:val="0"/>
    <w:rPr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2020-04-29T09:05:00Z</dcterms:created>
  <dc:creator>秋叶夏花</dc:creator>
  <cp:lastModifiedBy>秋叶夏花</cp:lastModifiedBy>
  <dcterms:modified xsi:type="dcterms:W3CDTF">2020-04-29T10:46:56Z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