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282828"/>
          <w:sz w:val="32"/>
          <w:szCs w:val="32"/>
          <w:shd w:val="clear" w:fill="FFFFFF"/>
        </w:rPr>
        <w:t>具体考核项目、分值比例及考核规定见下表：</w:t>
      </w:r>
    </w:p>
    <w:tbl>
      <w:tblPr>
        <w:tblW w:w="128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680"/>
        <w:gridCol w:w="928"/>
        <w:gridCol w:w="13"/>
        <w:gridCol w:w="1109"/>
        <w:gridCol w:w="1781"/>
        <w:gridCol w:w="1145"/>
        <w:gridCol w:w="4543"/>
        <w:gridCol w:w="2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1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代码</w:t>
            </w:r>
          </w:p>
        </w:tc>
        <w:tc>
          <w:tcPr>
            <w:tcW w:w="1605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 </w:t>
            </w:r>
          </w:p>
        </w:tc>
        <w:tc>
          <w:tcPr>
            <w:tcW w:w="4635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考核项目及分值比例</w:t>
            </w:r>
          </w:p>
        </w:tc>
        <w:tc>
          <w:tcPr>
            <w:tcW w:w="435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考核规定</w:t>
            </w:r>
          </w:p>
        </w:tc>
        <w:tc>
          <w:tcPr>
            <w:tcW w:w="1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笔试范围</w:t>
            </w: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及分值比例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专业测试项目及相应分值比例</w:t>
            </w:r>
          </w:p>
        </w:tc>
        <w:tc>
          <w:tcPr>
            <w:tcW w:w="43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1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专业技能测试</w:t>
            </w:r>
          </w:p>
        </w:tc>
        <w:tc>
          <w:tcPr>
            <w:tcW w:w="43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范围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分值  比例</w:t>
            </w:r>
          </w:p>
        </w:tc>
        <w:tc>
          <w:tcPr>
            <w:tcW w:w="28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43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1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试讲或面试（分值比例）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32"/>
                <w:szCs w:val="32"/>
              </w:rPr>
              <w:t>实操分值比例</w:t>
            </w:r>
          </w:p>
        </w:tc>
        <w:tc>
          <w:tcPr>
            <w:tcW w:w="43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9000505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Jx2001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思想政治、公共基础知识、职业能力测试等。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试讲（70%）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 xml:space="preserve">1、各考核项目满分均为100分。笔试时长90分钟，试讲时长20分钟 ，面试时长8分钟，实操时长根据实际情况确定。    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2、</w:t>
            </w: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笔试设置最低分数线为60分，</w:t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未达到最低分数线的考生不予参加专业测试。</w:t>
            </w: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博士研究生、正高级以上专业技术人员免笔试，直接进入专业测试，以专业测试成绩为准。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3、岗位代码9000525、9000526、9000527、9000528、9000529、9000530、9000531、9000532对应岗位，根据笔试成绩按岗位招聘计划1:3比例确定参加专业测试人选；其他岗位笔试成绩达到最低分数线的考生全部进入专业测试环节。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4、</w:t>
            </w: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专业技能测试设置最低分数线为60分，</w:t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实际进入试讲或面试人数小于或等于岗位招聘计划数的，</w:t>
            </w: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设定专业技能测试最低分数线为75分。</w:t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对未达到最低分数线的考生，不予进入体检和考察。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5、面试和试讲设立考官组，考官组一般由5-7人组成，其中外聘考官数量占考官组人数一半以上。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6、笔试成绩在学校校园网公布。试讲、面试、实操成绩当场公布。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HK2001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试讲（70%）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HK2002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试讲（70%）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HK2003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DQ2001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DQ2002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DQ2003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HLW2001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HLW2002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QC2001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QC2002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JM2001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试讲（60%）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JM2002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试讲（60%）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JM2003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试讲（60%）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GSH2001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试讲（70%）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GSH2002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试讲（70%）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YSH2001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YSH2002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MY2001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试讲（70%）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JCH2001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试讲（35%）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CWC2001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面试（40%）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(专业测试）30%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FDY2001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面试（60%）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FDY2002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面试（60%）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XCHB2001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面试（70%）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HQC2001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60%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TW2001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面试（60%）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JWC2001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面试（60%）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RSHC2001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面试（60%）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1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459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82828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E3A76"/>
    <w:rsid w:val="0BA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msg-box6"/>
    <w:basedOn w:val="4"/>
    <w:uiPriority w:val="0"/>
  </w:style>
  <w:style w:type="character" w:customStyle="1" w:styleId="15">
    <w:name w:val="bt"/>
    <w:basedOn w:val="4"/>
    <w:uiPriority w:val="0"/>
    <w:rPr>
      <w:b/>
      <w:sz w:val="24"/>
      <w:szCs w:val="24"/>
    </w:rPr>
  </w:style>
  <w:style w:type="character" w:customStyle="1" w:styleId="16">
    <w:name w:val="over"/>
    <w:basedOn w:val="4"/>
    <w:uiPriority w:val="0"/>
    <w:rPr>
      <w:color w:val="B60000"/>
    </w:rPr>
  </w:style>
  <w:style w:type="character" w:customStyle="1" w:styleId="17">
    <w:name w:val="over1"/>
    <w:basedOn w:val="4"/>
    <w:uiPriority w:val="0"/>
    <w:rPr>
      <w:color w:val="999999"/>
    </w:rPr>
  </w:style>
  <w:style w:type="character" w:customStyle="1" w:styleId="18">
    <w:name w:val="starting"/>
    <w:basedOn w:val="4"/>
    <w:uiPriority w:val="0"/>
    <w:rPr>
      <w:color w:val="339900"/>
    </w:rPr>
  </w:style>
  <w:style w:type="character" w:customStyle="1" w:styleId="19">
    <w:name w:val="starting1"/>
    <w:basedOn w:val="4"/>
    <w:uiPriority w:val="0"/>
    <w:rPr>
      <w:color w:val="339900"/>
    </w:rPr>
  </w:style>
  <w:style w:type="character" w:customStyle="1" w:styleId="20">
    <w:name w:val="nostart"/>
    <w:basedOn w:val="4"/>
    <w:uiPriority w:val="0"/>
    <w:rPr>
      <w:color w:val="FF0000"/>
    </w:rPr>
  </w:style>
  <w:style w:type="character" w:customStyle="1" w:styleId="21">
    <w:name w:val="nostart1"/>
    <w:basedOn w:val="4"/>
    <w:uiPriority w:val="0"/>
    <w:rPr>
      <w:color w:val="FF0000"/>
    </w:rPr>
  </w:style>
  <w:style w:type="character" w:customStyle="1" w:styleId="22">
    <w:name w:val="left2"/>
    <w:basedOn w:val="4"/>
    <w:uiPriority w:val="0"/>
  </w:style>
  <w:style w:type="character" w:customStyle="1" w:styleId="23">
    <w:name w:val="interview-names"/>
    <w:basedOn w:val="4"/>
    <w:uiPriority w:val="0"/>
  </w:style>
  <w:style w:type="character" w:customStyle="1" w:styleId="24">
    <w:name w:val="c1"/>
    <w:basedOn w:val="4"/>
    <w:uiPriority w:val="0"/>
    <w:rPr>
      <w:bdr w:val="none" w:color="auto" w:sz="0" w:space="0"/>
    </w:rPr>
  </w:style>
  <w:style w:type="character" w:customStyle="1" w:styleId="25">
    <w:name w:val="c2"/>
    <w:basedOn w:val="4"/>
    <w:uiPriority w:val="0"/>
    <w:rPr>
      <w:bdr w:val="none" w:color="auto" w:sz="0" w:space="0"/>
    </w:rPr>
  </w:style>
  <w:style w:type="character" w:customStyle="1" w:styleId="26">
    <w:name w:val="c3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2020-04-29T08:27:00Z</dcterms:created>
  <dc:creator>秋叶夏花</dc:creator>
  <cp:lastModifiedBy>秋叶夏花</cp:lastModifiedBy>
  <dcterms:modified xsi:type="dcterms:W3CDTF">2020-04-29T10:39:07Z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