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120" w:afterAutospacing="0" w:line="22" w:lineRule="atLeast"/>
        <w:ind w:left="0" w:right="0" w:firstLine="0"/>
        <w:rPr>
          <w:rFonts w:hint="eastAsia" w:ascii="宋体" w:hAnsi="宋体" w:eastAsia="宋体" w:cs="宋体"/>
          <w:i w:val="0"/>
          <w:caps w:val="0"/>
          <w:color w:val="333333"/>
          <w:spacing w:val="0"/>
          <w:sz w:val="16"/>
          <w:szCs w:val="16"/>
        </w:rPr>
      </w:pPr>
      <w:r>
        <w:rPr>
          <w:rFonts w:hint="eastAsia" w:ascii="宋体" w:hAnsi="宋体" w:eastAsia="宋体" w:cs="宋体"/>
          <w:i w:val="0"/>
          <w:caps w:val="0"/>
          <w:color w:val="333333"/>
          <w:spacing w:val="0"/>
          <w:sz w:val="16"/>
          <w:szCs w:val="16"/>
          <w:bdr w:val="none" w:color="auto" w:sz="0" w:space="0"/>
          <w:shd w:val="clear" w:fill="FFFFFF"/>
        </w:rPr>
        <w:t>人才待遇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120" w:afterAutospacing="0" w:line="22" w:lineRule="atLeast"/>
        <w:ind w:left="0" w:right="0" w:firstLine="0"/>
        <w:rPr>
          <w:rFonts w:hint="eastAsia" w:ascii="宋体" w:hAnsi="宋体" w:eastAsia="宋体" w:cs="宋体"/>
          <w:i w:val="0"/>
          <w:caps w:val="0"/>
          <w:color w:val="333333"/>
          <w:spacing w:val="0"/>
          <w:sz w:val="16"/>
          <w:szCs w:val="16"/>
        </w:rPr>
      </w:pPr>
      <w:r>
        <w:rPr>
          <w:rFonts w:hint="eastAsia" w:ascii="宋体" w:hAnsi="宋体" w:eastAsia="宋体" w:cs="宋体"/>
          <w:i w:val="0"/>
          <w:caps w:val="0"/>
          <w:color w:val="333333"/>
          <w:spacing w:val="0"/>
          <w:sz w:val="16"/>
          <w:szCs w:val="16"/>
          <w:bdr w:val="none" w:color="auto" w:sz="0" w:space="0"/>
          <w:shd w:val="clear" w:fill="FFFFFF"/>
        </w:rPr>
        <w:t>　　引进高层次人才由学院向上级主管部门申请入编，符合福建省高层次人才相关政策要求的，可申请相关人才待遇。高层次人才引进待遇按《福建水利电力职业技术学院高层次及紧缺专业人才引进管理办法（修订）》执行。</w:t>
      </w:r>
    </w:p>
    <w:tbl>
      <w:tblPr>
        <w:tblW w:w="0" w:type="auto"/>
        <w:tblCellSpacing w:w="0" w:type="dxa"/>
        <w:tblInd w:w="1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autofit"/>
        <w:tblCellMar>
          <w:top w:w="15" w:type="dxa"/>
          <w:left w:w="15" w:type="dxa"/>
          <w:bottom w:w="15" w:type="dxa"/>
          <w:right w:w="15" w:type="dxa"/>
        </w:tblCellMar>
      </w:tblPr>
      <w:tblGrid>
        <w:gridCol w:w="644"/>
        <w:gridCol w:w="1200"/>
        <w:gridCol w:w="3127"/>
        <w:gridCol w:w="717"/>
        <w:gridCol w:w="771"/>
        <w:gridCol w:w="939"/>
        <w:gridCol w:w="94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15" w:type="dxa"/>
            <w:left w:w="15" w:type="dxa"/>
            <w:bottom w:w="15" w:type="dxa"/>
            <w:right w:w="15" w:type="dxa"/>
          </w:tblCellMar>
        </w:tblPrEx>
        <w:trPr>
          <w:tblCellSpacing w:w="0" w:type="dxa"/>
        </w:trPr>
        <w:tc>
          <w:tcPr>
            <w:tcW w:w="5184" w:type="dxa"/>
            <w:gridSpan w:val="3"/>
            <w:vMerge w:val="restart"/>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b/>
                <w:i w:val="0"/>
                <w:caps w:val="0"/>
                <w:color w:val="333333"/>
                <w:spacing w:val="0"/>
                <w:sz w:val="16"/>
                <w:szCs w:val="16"/>
                <w:bdr w:val="none" w:color="auto" w:sz="0" w:space="0"/>
              </w:rPr>
              <w:t>人才类别及条件</w:t>
            </w:r>
            <w:r>
              <w:rPr>
                <w:rFonts w:hint="eastAsia" w:ascii="宋体" w:hAnsi="宋体" w:eastAsia="宋体" w:cs="宋体"/>
                <w:i w:val="0"/>
                <w:caps w:val="0"/>
                <w:color w:val="333333"/>
                <w:spacing w:val="0"/>
                <w:sz w:val="16"/>
                <w:szCs w:val="16"/>
                <w:bdr w:val="none" w:color="auto" w:sz="0" w:space="0"/>
              </w:rPr>
              <w:t> </w:t>
            </w:r>
          </w:p>
        </w:tc>
        <w:tc>
          <w:tcPr>
            <w:tcW w:w="3456" w:type="dxa"/>
            <w:gridSpan w:val="4"/>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b/>
                <w:i w:val="0"/>
                <w:caps w:val="0"/>
                <w:color w:val="333333"/>
                <w:spacing w:val="0"/>
                <w:sz w:val="16"/>
                <w:szCs w:val="16"/>
                <w:bdr w:val="none" w:color="auto" w:sz="0" w:space="0"/>
              </w:rPr>
              <w:t>引进待遇</w:t>
            </w:r>
            <w:r>
              <w:rPr>
                <w:rFonts w:hint="eastAsia" w:ascii="宋体" w:hAnsi="宋体" w:eastAsia="宋体" w:cs="宋体"/>
                <w:i w:val="0"/>
                <w:caps w:val="0"/>
                <w:color w:val="333333"/>
                <w:spacing w:val="0"/>
                <w:sz w:val="16"/>
                <w:szCs w:val="16"/>
                <w:bdr w:val="none" w:color="auto" w:sz="0" w:space="0"/>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5184" w:type="dxa"/>
            <w:gridSpan w:val="3"/>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b/>
                <w:i w:val="0"/>
                <w:caps w:val="0"/>
                <w:color w:val="333333"/>
                <w:spacing w:val="0"/>
                <w:sz w:val="16"/>
                <w:szCs w:val="16"/>
                <w:bdr w:val="none" w:color="auto" w:sz="0" w:space="0"/>
              </w:rPr>
              <w:t>安家费(万元)</w:t>
            </w:r>
            <w:r>
              <w:rPr>
                <w:rFonts w:hint="eastAsia" w:ascii="宋体" w:hAnsi="宋体" w:eastAsia="宋体" w:cs="宋体"/>
                <w:i w:val="0"/>
                <w:caps w:val="0"/>
                <w:color w:val="333333"/>
                <w:spacing w:val="0"/>
                <w:sz w:val="16"/>
                <w:szCs w:val="16"/>
                <w:bdr w:val="none" w:color="auto" w:sz="0" w:space="0"/>
              </w:rPr>
              <w:t>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b/>
                <w:i w:val="0"/>
                <w:caps w:val="0"/>
                <w:color w:val="333333"/>
                <w:spacing w:val="0"/>
                <w:sz w:val="16"/>
                <w:szCs w:val="16"/>
                <w:bdr w:val="none" w:color="auto" w:sz="0" w:space="0"/>
              </w:rPr>
              <w:t>科研启动经费(万元)</w:t>
            </w:r>
            <w:r>
              <w:rPr>
                <w:rFonts w:hint="eastAsia" w:ascii="宋体" w:hAnsi="宋体" w:eastAsia="宋体" w:cs="宋体"/>
                <w:i w:val="0"/>
                <w:caps w:val="0"/>
                <w:color w:val="333333"/>
                <w:spacing w:val="0"/>
                <w:sz w:val="16"/>
                <w:szCs w:val="16"/>
                <w:bdr w:val="none" w:color="auto" w:sz="0" w:space="0"/>
              </w:rPr>
              <w:t> </w:t>
            </w:r>
          </w:p>
        </w:tc>
        <w:tc>
          <w:tcPr>
            <w:tcW w:w="97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b/>
                <w:i w:val="0"/>
                <w:caps w:val="0"/>
                <w:color w:val="333333"/>
                <w:spacing w:val="0"/>
                <w:sz w:val="16"/>
                <w:szCs w:val="16"/>
                <w:bdr w:val="none" w:color="auto" w:sz="0" w:space="0"/>
              </w:rPr>
              <w:t>工资待遇</w:t>
            </w:r>
            <w:r>
              <w:rPr>
                <w:rFonts w:hint="eastAsia" w:ascii="宋体" w:hAnsi="宋体" w:eastAsia="宋体" w:cs="宋体"/>
                <w:i w:val="0"/>
                <w:caps w:val="0"/>
                <w:color w:val="333333"/>
                <w:spacing w:val="0"/>
                <w:sz w:val="16"/>
                <w:szCs w:val="16"/>
                <w:bdr w:val="none" w:color="auto" w:sz="0" w:space="0"/>
              </w:rPr>
              <w:t> </w:t>
            </w:r>
          </w:p>
        </w:tc>
        <w:tc>
          <w:tcPr>
            <w:tcW w:w="96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b/>
                <w:i w:val="0"/>
                <w:caps w:val="0"/>
                <w:color w:val="333333"/>
                <w:spacing w:val="0"/>
                <w:sz w:val="16"/>
                <w:szCs w:val="16"/>
                <w:bdr w:val="none" w:color="auto" w:sz="0" w:space="0"/>
              </w:rPr>
              <w:t>配偶安置</w:t>
            </w:r>
            <w:r>
              <w:rPr>
                <w:rFonts w:hint="eastAsia" w:ascii="宋体" w:hAnsi="宋体" w:eastAsia="宋体" w:cs="宋体"/>
                <w:i w:val="0"/>
                <w:caps w:val="0"/>
                <w:color w:val="333333"/>
                <w:spacing w:val="0"/>
                <w:sz w:val="16"/>
                <w:szCs w:val="16"/>
                <w:bdr w:val="none" w:color="auto" w:sz="0" w:space="0"/>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A类 </w:t>
            </w: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领军人才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闽江学者特聘教授、省级有突出贡献的中青年专家、拥有独立的自主知识产权和发明专利，技术成果达到国内先进水平的人才、福建省高等学校领军人才资助人选，以及学术水平和科研业绩相当的省级领军型人才。年龄原则上不超过50周岁。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面谈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面谈 </w:t>
            </w:r>
          </w:p>
        </w:tc>
        <w:tc>
          <w:tcPr>
            <w:tcW w:w="97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面谈 </w:t>
            </w:r>
          </w:p>
        </w:tc>
        <w:tc>
          <w:tcPr>
            <w:tcW w:w="96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面谈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vMerge w:val="restart"/>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B类 </w:t>
            </w: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专业（学科）带头人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在相关行业、专业领域和高等职业教育领域具有较高影响力和威望的专业（学科）带头人，能引领学院专业及专业群建设。高校人员需要担任本专业（学科）带头人3年以上，一般具有正高专业技术职务或副高专业技术职务且具有博士学位；企业、行业人员需在相关领域知名企业的高层管理工作或在相关行业协会担任重要职务，承担并主持过企业、科研院所相关国家级重大项目。身体健康，年龄原则上不超过50周岁。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80万元或永安当地住房1套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50 </w:t>
            </w:r>
          </w:p>
        </w:tc>
        <w:tc>
          <w:tcPr>
            <w:tcW w:w="972" w:type="dxa"/>
            <w:vMerge w:val="restart"/>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按聘任岗位级别对应工资标准，特别优秀人才可申请年薪制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  </w:t>
            </w:r>
          </w:p>
        </w:tc>
        <w:tc>
          <w:tcPr>
            <w:tcW w:w="960" w:type="dxa"/>
            <w:vMerge w:val="restart"/>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可随调配偶，符合入编条件者可予以正式入编，不符合入编条件者一事一议，予以校内聘用。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紧缺专业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高层次人才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具有博士或副教授且具有硕士及以上学位，学院急需的紧缺专业高层次人才（以当年学院公布的紧缺专业为准），具有较强科研能力，胜任相关科研平台建设与管理工作，胜任核心课程教学工作。年龄原则上不超过45周岁。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70万元或永安当地住房1套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50 </w:t>
            </w:r>
          </w:p>
        </w:tc>
        <w:tc>
          <w:tcPr>
            <w:tcW w:w="972"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9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vMerge w:val="restart"/>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C类 </w:t>
            </w: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优秀博士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具有博士学位，具有较强科研能力，符合学院专业及专业群建设需要。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50 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15-30 </w:t>
            </w:r>
          </w:p>
        </w:tc>
        <w:tc>
          <w:tcPr>
            <w:tcW w:w="972"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9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能工巧匠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具有硕士及以上学位、具有高级工程师及以上专业技术职务；获得省突出贡献技师、高级技师表彰，省（行业）级技术能手称号以上荣誉的技术技能突出人才。具有丰富企业实践背景，获评“非物质文化遗产传承人”、省级及以上技能大师、大师工作室及相当荣誉人员。年龄原则上不超过45周岁。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40 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15-30 </w:t>
            </w:r>
          </w:p>
        </w:tc>
        <w:tc>
          <w:tcPr>
            <w:tcW w:w="972"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9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学术骨干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具有副教授且具有硕士及以上学位及以上专业技术职务人员，具有较强科研能力，符合学院专业及专业群建设需要，胜任相关科研平台建设与管理工作，胜任核心课程教学工作。年龄原则上不超过45周岁。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40 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15-30 </w:t>
            </w:r>
          </w:p>
        </w:tc>
        <w:tc>
          <w:tcPr>
            <w:tcW w:w="972"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c>
          <w:tcPr>
            <w:tcW w:w="960" w:type="dxa"/>
            <w:vMerge w:val="continue"/>
            <w:tcBorders>
              <w:top w:val="single" w:color="DDDDDD" w:sz="4" w:space="0"/>
              <w:left w:val="single" w:color="DDDDDD" w:sz="4" w:space="0"/>
              <w:bottom w:val="single" w:color="DDDDDD" w:sz="4" w:space="0"/>
              <w:right w:val="single" w:color="DDDDDD" w:sz="4" w:space="0"/>
            </w:tcBorders>
            <w:shd w:val="clear" w:color="auto" w:fill="FFFFFF"/>
            <w:vAlign w:val="center"/>
          </w:tcPr>
          <w:p>
            <w:pPr>
              <w:rPr>
                <w:rFonts w:hint="eastAsia" w:ascii="宋体" w:hAnsi="宋体" w:eastAsia="宋体" w:cs="宋体"/>
                <w:i w:val="0"/>
                <w:caps w:val="0"/>
                <w:color w:val="333333"/>
                <w:spacing w:val="0"/>
                <w:sz w:val="16"/>
                <w:szCs w:val="16"/>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66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E类 </w:t>
            </w:r>
          </w:p>
        </w:tc>
        <w:tc>
          <w:tcPr>
            <w:tcW w:w="1248"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创新创业团队 </w:t>
            </w:r>
          </w:p>
        </w:tc>
        <w:tc>
          <w:tcPr>
            <w:tcW w:w="3276"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团队成员一般应在3人以上；具有博士研究生学位；学科方向一致或相近，其中至少1人符合专业（学科）带头人条件。成员依据具体层次享受相应待遇，同时安家费增加10%，科研启动经费增加20%，支持进行专项实验室建设；科研、教学团队引进按照一事一议原则，逐项进行。 </w:t>
            </w:r>
          </w:p>
        </w:tc>
        <w:tc>
          <w:tcPr>
            <w:tcW w:w="73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面议 </w:t>
            </w:r>
          </w:p>
        </w:tc>
        <w:tc>
          <w:tcPr>
            <w:tcW w:w="78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面议 </w:t>
            </w:r>
          </w:p>
        </w:tc>
        <w:tc>
          <w:tcPr>
            <w:tcW w:w="972"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面议 </w:t>
            </w:r>
          </w:p>
        </w:tc>
        <w:tc>
          <w:tcPr>
            <w:tcW w:w="960" w:type="dxa"/>
            <w:tcBorders>
              <w:top w:val="single" w:color="DDDDDD" w:sz="4" w:space="0"/>
              <w:left w:val="single" w:color="DDDDDD" w:sz="4" w:space="0"/>
              <w:bottom w:val="single" w:color="DDDDDD" w:sz="4" w:space="0"/>
              <w:right w:val="single" w:color="DDDDDD" w:sz="4" w:space="0"/>
            </w:tcBorders>
            <w:shd w:val="clear" w:color="auto" w:fill="FFFFFF"/>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2" w:lineRule="atLeast"/>
              <w:ind w:left="0" w:right="0"/>
              <w:jc w:val="center"/>
              <w:rPr>
                <w:sz w:val="16"/>
                <w:szCs w:val="16"/>
              </w:rPr>
            </w:pPr>
            <w:r>
              <w:rPr>
                <w:rFonts w:hint="eastAsia" w:ascii="宋体" w:hAnsi="宋体" w:eastAsia="宋体" w:cs="宋体"/>
                <w:i w:val="0"/>
                <w:caps w:val="0"/>
                <w:color w:val="333333"/>
                <w:spacing w:val="0"/>
                <w:sz w:val="16"/>
                <w:szCs w:val="16"/>
                <w:bdr w:val="none" w:color="auto" w:sz="0" w:space="0"/>
              </w:rPr>
              <w:t>面</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F18"/>
    <w:rsid w:val="00023F18"/>
    <w:rsid w:val="00913B02"/>
    <w:rsid w:val="00A2460B"/>
    <w:rsid w:val="08A065CD"/>
    <w:rsid w:val="17FB7E4F"/>
    <w:rsid w:val="3F8A7517"/>
    <w:rsid w:val="637C0658"/>
    <w:rsid w:val="7C7B18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styleId="2">
    <w:name w:val="heading 1"/>
    <w:basedOn w:val="1"/>
    <w:next w:val="1"/>
    <w:qFormat/>
    <w:uiPriority w:val="9"/>
    <w:pPr>
      <w:spacing w:before="0" w:beforeAutospacing="1" w:after="0" w:afterAutospacing="1" w:line="360" w:lineRule="auto"/>
      <w:jc w:val="left"/>
    </w:pPr>
    <w:rPr>
      <w:rFonts w:hint="eastAsia" w:ascii="宋体" w:hAnsi="宋体" w:eastAsia="宋体" w:cs="宋体"/>
      <w:b/>
      <w:color w:val="000000"/>
      <w:kern w:val="44"/>
      <w:sz w:val="28"/>
      <w:szCs w:val="28"/>
      <w:lang w:val="en-US" w:eastAsia="zh-CN" w:bidi="ar"/>
    </w:rPr>
  </w:style>
  <w:style w:type="paragraph" w:styleId="3">
    <w:name w:val="heading 3"/>
    <w:basedOn w:val="1"/>
    <w:next w:val="1"/>
    <w:semiHidden/>
    <w:unhideWhenUsed/>
    <w:qFormat/>
    <w:uiPriority w:val="9"/>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4">
    <w:name w:val="Normal (Web)"/>
    <w:basedOn w:val="1"/>
    <w:semiHidden/>
    <w:unhideWhenUsed/>
    <w:uiPriority w:val="99"/>
    <w:pPr>
      <w:spacing w:before="0" w:beforeAutospacing="1" w:after="0" w:afterAutospacing="1"/>
      <w:ind w:left="0" w:right="0"/>
      <w:jc w:val="left"/>
    </w:pPr>
    <w:rPr>
      <w:kern w:val="0"/>
      <w:sz w:val="24"/>
      <w:lang w:val="en-US" w:eastAsia="zh-CN" w:bidi="ar"/>
    </w:rPr>
  </w:style>
  <w:style w:type="character" w:styleId="7">
    <w:name w:val="Strong"/>
    <w:basedOn w:val="6"/>
    <w:qFormat/>
    <w:uiPriority w:val="22"/>
    <w:rPr>
      <w:b/>
    </w:rPr>
  </w:style>
  <w:style w:type="character" w:styleId="8">
    <w:name w:val="FollowedHyperlink"/>
    <w:basedOn w:val="6"/>
    <w:semiHidden/>
    <w:unhideWhenUsed/>
    <w:qFormat/>
    <w:uiPriority w:val="99"/>
    <w:rPr>
      <w:color w:val="000000"/>
      <w:u w:val="none"/>
    </w:rPr>
  </w:style>
  <w:style w:type="character" w:styleId="9">
    <w:name w:val="Hyperlink"/>
    <w:basedOn w:val="6"/>
    <w:semiHidden/>
    <w:unhideWhenUsed/>
    <w:qFormat/>
    <w:uiPriority w:val="99"/>
    <w:rPr>
      <w:color w:val="000000"/>
      <w:u w:val="none"/>
    </w:rPr>
  </w:style>
  <w:style w:type="character" w:customStyle="1" w:styleId="10">
    <w:name w:val="item-name"/>
    <w:basedOn w:val="6"/>
    <w:uiPriority w:val="0"/>
  </w:style>
  <w:style w:type="character" w:customStyle="1" w:styleId="11">
    <w:name w:val="item-name1"/>
    <w:basedOn w:val="6"/>
    <w:qFormat/>
    <w:uiPriority w:val="0"/>
  </w:style>
  <w:style w:type="character" w:customStyle="1" w:styleId="12">
    <w:name w:val="wp_visitcount1"/>
    <w:basedOn w:val="6"/>
    <w:qFormat/>
    <w:uiPriority w:val="0"/>
    <w:rPr>
      <w:vanish/>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52</Words>
  <Characters>303</Characters>
  <Lines>2</Lines>
  <Paragraphs>1</Paragraphs>
  <TotalTime>2</TotalTime>
  <ScaleCrop>false</ScaleCrop>
  <LinksUpToDate>false</LinksUpToDate>
  <CharactersWithSpaces>354</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2020-04-29T02:51:00Z</dcterms:created>
  <dc:creator>admin</dc:creator>
  <cp:lastModifiedBy>卜荣荣</cp:lastModifiedBy>
  <dcterms:modified xsi:type="dcterms:W3CDTF">2020-04-29T08:39:05Z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