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300"/>
        <w:gridCol w:w="1528"/>
        <w:gridCol w:w="47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14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单位性质</w:t>
            </w:r>
          </w:p>
        </w:tc>
        <w:tc>
          <w:tcPr>
            <w:tcW w:w="1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单位地址</w:t>
            </w:r>
          </w:p>
        </w:tc>
        <w:tc>
          <w:tcPr>
            <w:tcW w:w="54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主要职能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  <w:jc w:val="center"/>
        </w:trPr>
        <w:tc>
          <w:tcPr>
            <w:tcW w:w="9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"/>
              </w:rPr>
              <w:t>四川省财政信息中心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"/>
              </w:rPr>
              <w:t>核定收支、定额补助事业单位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"/>
              </w:rPr>
              <w:t>成都市锦江区南新街16号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"/>
              </w:rPr>
              <w:t>负责拟订财政信息化建设规划；制订财政信息化建设管理制度、实施规范和技术标准；承担省财政厅信息化基础设施建设和管理以及财政信息系统建设、实施和推广应用；组织财政数据的优化和应用；承担财政信息化安全保障体系规划和建设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"/>
              </w:rPr>
              <w:t>四川财经职业学院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"/>
              </w:rPr>
              <w:t>核定收支、定额补助事业单位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"/>
              </w:rPr>
              <w:t>成都市龙泉驿区驿都西路4111号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"/>
              </w:rPr>
              <w:t>学院为专科层次的普通高等学校，以实施专科层次的高等职业教育为主。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9442E"/>
    <w:rsid w:val="1E3116EF"/>
    <w:rsid w:val="399A1EDD"/>
    <w:rsid w:val="3DC3577E"/>
    <w:rsid w:val="47C9442E"/>
    <w:rsid w:val="4C220477"/>
    <w:rsid w:val="4D1D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6">
    <w:name w:val="jp-artist"/>
    <w:basedOn w:val="3"/>
    <w:uiPriority w:val="0"/>
    <w:rPr>
      <w:color w:val="666666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2020-05-07T03:56:00Z</dcterms:created>
  <dc:creator>ぺ灬cc果冻ル</dc:creator>
  <cp:lastModifiedBy>ぺ灬cc果冻ル</cp:lastModifiedBy>
  <dcterms:modified xsi:type="dcterms:W3CDTF">2020-05-07T04:16:49Z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