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"/>
        <w:gridCol w:w="857"/>
        <w:gridCol w:w="419"/>
        <w:gridCol w:w="1284"/>
        <w:gridCol w:w="1404"/>
        <w:gridCol w:w="2538"/>
        <w:gridCol w:w="746"/>
        <w:gridCol w:w="680"/>
      </w:tblGrid>
      <w:tr w:rsidR="00E872BD" w:rsidRPr="00E872BD" w:rsidTr="00E872B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岗位编号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可胜任课程</w:t>
            </w:r>
          </w:p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4" w:tgtFrame="_blank" w:history="1">
              <w:r w:rsidRPr="00E872BD">
                <w:rPr>
                  <w:rFonts w:ascii="宋体" w:eastAsia="宋体" w:hAnsi="宋体" w:cs="宋体" w:hint="eastAsia"/>
                  <w:b/>
                  <w:bCs/>
                  <w:color w:val="9933E5"/>
                  <w:sz w:val="18"/>
                </w:rPr>
                <w:t>（可参考教务部网站专业培养方案中的课程）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其他要求</w:t>
            </w:r>
          </w:p>
        </w:tc>
      </w:tr>
      <w:tr w:rsidR="00E872BD" w:rsidRPr="00E872BD" w:rsidTr="00E872B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给排水科学与工程教师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/>
                <w:sz w:val="18"/>
                <w:szCs w:val="18"/>
              </w:rPr>
              <w:t>ESE2001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博士或优秀硕士或讲师及以上职称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本科阶段为给排水科学与工程专业，研究生阶段为市政工程专业或环境工程专业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建筑给排水（必须）、给排水管道系统、水质工程学、给排水工程施工、给排水</w:t>
            </w:r>
            <w:r w:rsidRPr="00E872BD">
              <w:rPr>
                <w:rFonts w:ascii="宋体" w:eastAsia="宋体" w:hAnsi="宋体" w:cs="宋体"/>
                <w:sz w:val="18"/>
                <w:szCs w:val="18"/>
              </w:rPr>
              <w:t>CAD</w:t>
            </w: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、水文学及水文地质学、水工艺设备基础、水工程建设监理、水工艺仪表与控制、水工程结构等（至少</w:t>
            </w:r>
            <w:r w:rsidRPr="00E872BD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非博士的须有</w:t>
            </w:r>
            <w:r w:rsidRPr="00E872BD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年以上本专业教学经验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须提供本科和研究生阶段成绩单</w:t>
            </w:r>
          </w:p>
        </w:tc>
      </w:tr>
      <w:tr w:rsidR="00E872BD" w:rsidRPr="00E872BD" w:rsidTr="00E872BD">
        <w:trPr>
          <w:trHeight w:val="7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生态工程教师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/>
                <w:sz w:val="18"/>
                <w:szCs w:val="18"/>
              </w:rPr>
              <w:t>ESE2002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博士或副高级及以上职称（非高校教师系列须同时具备硕士研究生及以上学历</w:t>
            </w:r>
            <w:r w:rsidRPr="00E872BD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本科和研究生阶段为生态工程、生态学或与生态工程基础课相关的专业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生态工程、生态学、园林植物分类、遥感与地理信息系统、植物生物学、生物化学等（至少</w:t>
            </w:r>
            <w:r w:rsidRPr="00E872BD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非博士的须有</w:t>
            </w:r>
            <w:r w:rsidRPr="00E872BD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年以上本专业教学经验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须提供本科和研究生阶段成绩单</w:t>
            </w:r>
          </w:p>
        </w:tc>
      </w:tr>
      <w:tr w:rsidR="00E872BD" w:rsidRPr="00E872BD" w:rsidTr="00E872BD">
        <w:trPr>
          <w:trHeight w:val="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环境工程教师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/>
                <w:sz w:val="18"/>
                <w:szCs w:val="18"/>
              </w:rPr>
              <w:t>ESE2003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12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本科和研究生阶段为环境工程或环境科学，研究生阶段必须为与环境工程基础课相关的专业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12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水污染控制工程、环境物理学、大气污染控制工程、固体废物处理处置等（至少</w:t>
            </w:r>
            <w:r w:rsidRPr="00E872BD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after="0"/>
              <w:rPr>
                <w:rFonts w:ascii="宋体" w:eastAsia="宋体" w:hAnsi="宋体" w:cs="宋体"/>
                <w:sz w:val="1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BD" w:rsidRPr="00E872BD" w:rsidRDefault="00E872BD" w:rsidP="00E872BD">
            <w:pPr>
              <w:adjustRightInd/>
              <w:snapToGrid/>
              <w:spacing w:before="100" w:beforeAutospacing="1" w:after="100" w:afterAutospacing="1" w:line="12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872BD">
              <w:rPr>
                <w:rFonts w:ascii="宋体" w:eastAsia="宋体" w:hAnsi="宋体" w:cs="宋体" w:hint="eastAsia"/>
                <w:sz w:val="18"/>
                <w:szCs w:val="18"/>
              </w:rPr>
              <w:t>须提供本科和研究生阶段成绩单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872BD"/>
    <w:rsid w:val="00323B43"/>
    <w:rsid w:val="003D37D8"/>
    <w:rsid w:val="004358AB"/>
    <w:rsid w:val="0064020C"/>
    <w:rsid w:val="00744105"/>
    <w:rsid w:val="008811B0"/>
    <w:rsid w:val="008B7726"/>
    <w:rsid w:val="00CF7209"/>
    <w:rsid w:val="00E872B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wb.xujc.com/pyfa/lis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2020-06-02T10:04:00Z</dcterms:created>
  <dcterms:modified xsi:type="dcterms:W3CDTF">2020-06-02T10:07:00Z</dcterms:modified>
</cp:coreProperties>
</file>