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405"/>
        <w:gridCol w:w="1065"/>
        <w:gridCol w:w="1395"/>
        <w:gridCol w:w="675"/>
        <w:gridCol w:w="4695"/>
      </w:tblGrid>
      <w:tr w:rsidR="00AD449A" w:rsidRPr="00AD449A" w:rsidTr="00AD449A">
        <w:trPr>
          <w:trHeight w:val="55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职责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学历（学位）要求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范围</w:t>
            </w:r>
          </w:p>
        </w:tc>
        <w:tc>
          <w:tcPr>
            <w:tcW w:w="4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AD449A" w:rsidRPr="00AD449A" w:rsidTr="00AD449A">
        <w:trPr>
          <w:trHeight w:val="13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幼儿教师（一）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承担幼儿园教育教学实践指导及科研工作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学前教育专业；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硕士研究生及以上学历（学位），要求本、硕均为学前教育专业。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符合下列条件之一：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1、2019年全日制普通高校应届毕业生；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2、历届生，具有教师资格证书，30周岁以下（其中对具有获区级及以上“教坛新秀”、“骨干教师”等荣誉称号的，年龄可放宽至35周岁以下）。</w:t>
            </w:r>
          </w:p>
        </w:tc>
      </w:tr>
      <w:tr w:rsidR="00AD449A" w:rsidRPr="00AD449A" w:rsidTr="00AD449A">
        <w:trPr>
          <w:trHeight w:val="132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幼儿教师（二）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承担幼儿园教育教学实践指导工作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学前教育、教育学（学前双语）专业；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大专及以上学历。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浙江省户籍或生源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符合下列条件之一：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1、2019年全日制普通高校应届毕业生；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2、历届生，具有教师资格证书，30周岁以下（其中对具有获区级及以上“教坛新秀”、“骨干教师”等荣誉称号的，年龄可放宽至35周岁以下）。</w:t>
            </w:r>
          </w:p>
        </w:tc>
      </w:tr>
      <w:tr w:rsidR="00AD449A" w:rsidRPr="00AD449A" w:rsidTr="00AD449A">
        <w:trPr>
          <w:trHeight w:val="1290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幼儿教师（三）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男性且符合下列条件之一：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1、2019年全日制普通高校应届毕业生；</w:t>
            </w:r>
          </w:p>
          <w:p w:rsidR="00AD449A" w:rsidRPr="00AD449A" w:rsidRDefault="00AD449A" w:rsidP="00AD449A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D44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2、历届生，具有教师资格证书，30周岁以下（其中对具有获区级及以上“教坛新秀”、“骨干教师”等荣誉称号的，年龄可放宽至35周岁以下）。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096E"/>
    <w:rsid w:val="008B7726"/>
    <w:rsid w:val="00AD449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2018-10-23T09:21:00Z</dcterms:modified>
</cp:coreProperties>
</file>