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jc w:val="center"/>
        <w:rPr>
          <w:rFonts w:hint="eastAsia" w:ascii="宋体" w:hAnsi="宋体" w:eastAsia="宋体" w:cs="宋体"/>
          <w:b/>
          <w:snapToGrid w:val="0"/>
          <w:color w:val="000000"/>
          <w:sz w:val="44"/>
          <w:szCs w:val="24"/>
        </w:rPr>
      </w:pPr>
    </w:p>
    <w:p>
      <w:pPr>
        <w:widowControl/>
        <w:spacing w:line="700" w:lineRule="exact"/>
        <w:jc w:val="center"/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如皋市部分学校面向2024届毕业生公开招聘教师</w:t>
      </w:r>
    </w:p>
    <w:p>
      <w:pPr>
        <w:widowControl/>
        <w:spacing w:line="700" w:lineRule="exact"/>
        <w:jc w:val="center"/>
        <w:rPr>
          <w:rFonts w:ascii="宋体" w:hAnsi="宋体" w:eastAsia="宋体" w:cs="宋体"/>
          <w:b/>
          <w:snapToGrid w:val="0"/>
          <w:color w:val="000000"/>
          <w:sz w:val="44"/>
          <w:szCs w:val="24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资格复审递补人员</w:t>
      </w:r>
      <w:r>
        <w:rPr>
          <w:rFonts w:hint="eastAsia" w:ascii="宋体" w:hAnsi="宋体" w:cs="宋体"/>
          <w:b/>
          <w:snapToGrid w:val="0"/>
          <w:color w:val="000000"/>
          <w:sz w:val="36"/>
          <w:szCs w:val="36"/>
          <w:lang w:eastAsia="zh-CN"/>
        </w:rPr>
        <w:t>名单</w:t>
      </w: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公布</w:t>
      </w:r>
    </w:p>
    <w:p>
      <w:pPr>
        <w:adjustRightInd w:val="0"/>
        <w:snapToGrid w:val="0"/>
        <w:spacing w:line="52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根据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江苏省如皋市部分学校面向2024届毕业生公开招聘教师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公告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》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，现将进入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资格复审递补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名单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进行公布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见附件）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请进入资格复审递补人员带齐相关材料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按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招聘单位电话通知</w:t>
      </w:r>
      <w:r>
        <w:rPr>
          <w:rFonts w:hint="eastAsia" w:eastAsia="仿宋_GB2312"/>
          <w:snapToGrid w:val="0"/>
          <w:color w:val="000000"/>
          <w:sz w:val="32"/>
          <w:szCs w:val="32"/>
        </w:rPr>
        <w:t>到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指定地点参加</w:t>
      </w:r>
      <w:r>
        <w:rPr>
          <w:rFonts w:hint="eastAsia" w:eastAsia="仿宋_GB2312"/>
          <w:snapToGrid w:val="0"/>
          <w:color w:val="000000"/>
          <w:sz w:val="32"/>
          <w:szCs w:val="32"/>
        </w:rPr>
        <w:t>资格复审，逾时不到作自动放弃处理。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资格复审及适岗评价相关材料的提交要求详见</w:t>
      </w:r>
      <w:r>
        <w:rPr>
          <w:rFonts w:hint="eastAsia" w:eastAsia="仿宋_GB2312"/>
          <w:snapToGrid w:val="0"/>
          <w:color w:val="000000"/>
          <w:sz w:val="32"/>
          <w:szCs w:val="32"/>
        </w:rPr>
        <w:t>如皋市人民政府网站如皋市教育局网页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2023年12</w:t>
      </w:r>
      <w:r>
        <w:rPr>
          <w:rFonts w:hint="eastAsia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16</w:t>
      </w:r>
      <w:r>
        <w:rPr>
          <w:rFonts w:hint="eastAsia" w:eastAsia="仿宋_GB2312"/>
          <w:snapToGrid w:val="0"/>
          <w:color w:val="000000"/>
          <w:sz w:val="32"/>
          <w:szCs w:val="32"/>
        </w:rPr>
        <w:t>日发布的《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江苏省如皋市部分学校面向2024届毕业生公开招聘教师笔试成绩公布暨资格复审通知</w:t>
      </w:r>
      <w:r>
        <w:rPr>
          <w:rFonts w:hint="eastAsia" w:eastAsia="仿宋_GB2312"/>
          <w:snapToGrid w:val="0"/>
          <w:color w:val="000000"/>
          <w:sz w:val="32"/>
          <w:szCs w:val="32"/>
        </w:rPr>
        <w:t>》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eastAsia="仿宋_GB2312"/>
          <w:snapToGrid w:val="0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如皋市部分学校面向2024届毕业生公开招聘教师进入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资格复审递补人员名单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                           如皋市教育局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                         202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pStyle w:val="3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br w:type="page"/>
      </w:r>
    </w:p>
    <w:p>
      <w:pPr>
        <w:pStyle w:val="3"/>
        <w:spacing w:before="0" w:beforeAutospacing="0" w:after="0" w:afterAutospacing="0" w:line="520" w:lineRule="exact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附件:</w:t>
      </w: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如皋市部分学校面向2024届毕业生公开招聘教师</w:t>
      </w:r>
    </w:p>
    <w:p>
      <w:pPr>
        <w:pStyle w:val="3"/>
        <w:spacing w:before="0" w:beforeAutospacing="0" w:after="0" w:afterAutospacing="0" w:line="520" w:lineRule="exact"/>
        <w:jc w:val="center"/>
        <w:rPr>
          <w:rFonts w:hint="default" w:ascii="宋体" w:hAnsi="宋体" w:eastAsia="宋体" w:cs="宋体"/>
          <w:b/>
          <w:snapToGrid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36"/>
          <w:szCs w:val="36"/>
        </w:rPr>
        <w:t>进入资格复审递补人员名单</w:t>
      </w:r>
    </w:p>
    <w:p>
      <w:pPr>
        <w:pStyle w:val="3"/>
        <w:spacing w:before="0" w:beforeAutospacing="0" w:after="0" w:afterAutospacing="0" w:line="240" w:lineRule="exact"/>
        <w:jc w:val="center"/>
        <w:rPr>
          <w:rFonts w:ascii="宋体" w:hAnsi="宋体" w:eastAsia="宋体" w:cs="宋体"/>
          <w:b/>
          <w:snapToGrid w:val="0"/>
          <w:color w:val="000000"/>
          <w:sz w:val="44"/>
          <w:szCs w:val="24"/>
        </w:rPr>
      </w:pPr>
    </w:p>
    <w:tbl>
      <w:tblPr>
        <w:tblStyle w:val="5"/>
        <w:tblW w:w="8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960"/>
        <w:gridCol w:w="1929"/>
        <w:gridCol w:w="1728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学段学科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康平欣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23100711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赵哲涵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23100813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23100805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刘枢源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23100807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23100910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焦硕婷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23101011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23101020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23101203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伍心玥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中职学前教育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23101312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中职学前教育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23101316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中职学前教育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23101320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彭雯雯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中职学前教育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23101321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朱彭宇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中职学前教育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23101323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ngsanaUPC">
    <w:altName w:val="Microsoft Sans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</w:docVars>
  <w:rsids>
    <w:rsidRoot w:val="00F17C1C"/>
    <w:rsid w:val="00030DD8"/>
    <w:rsid w:val="000F6B1B"/>
    <w:rsid w:val="001262FC"/>
    <w:rsid w:val="002C1B76"/>
    <w:rsid w:val="003F6609"/>
    <w:rsid w:val="00444E1C"/>
    <w:rsid w:val="007A1C9F"/>
    <w:rsid w:val="007A2A0A"/>
    <w:rsid w:val="009C5E0A"/>
    <w:rsid w:val="00A21DFC"/>
    <w:rsid w:val="00D01ECF"/>
    <w:rsid w:val="00DD39F7"/>
    <w:rsid w:val="00F17C1C"/>
    <w:rsid w:val="00F526F3"/>
    <w:rsid w:val="020C196E"/>
    <w:rsid w:val="02CA4D19"/>
    <w:rsid w:val="08BB45BC"/>
    <w:rsid w:val="0B7E680E"/>
    <w:rsid w:val="0D3410A5"/>
    <w:rsid w:val="0F21431F"/>
    <w:rsid w:val="176A02A8"/>
    <w:rsid w:val="1EC9393F"/>
    <w:rsid w:val="280F25FF"/>
    <w:rsid w:val="296D14D9"/>
    <w:rsid w:val="2F184AE9"/>
    <w:rsid w:val="321E3BC0"/>
    <w:rsid w:val="33036B3C"/>
    <w:rsid w:val="35AF70D3"/>
    <w:rsid w:val="38431D54"/>
    <w:rsid w:val="3CD55026"/>
    <w:rsid w:val="450338D7"/>
    <w:rsid w:val="45A1630C"/>
    <w:rsid w:val="4B20746B"/>
    <w:rsid w:val="4DE44FE8"/>
    <w:rsid w:val="527B278B"/>
    <w:rsid w:val="540F128A"/>
    <w:rsid w:val="544E5829"/>
    <w:rsid w:val="587B60DB"/>
    <w:rsid w:val="5B9F51D2"/>
    <w:rsid w:val="680D45D4"/>
    <w:rsid w:val="78A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1166</Characters>
  <Lines>7</Lines>
  <Paragraphs>2</Paragraphs>
  <TotalTime>7</TotalTime>
  <ScaleCrop>false</ScaleCrop>
  <LinksUpToDate>false</LinksUpToDate>
  <CharactersWithSpaces>1222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2022-08-28T02:34:00Z</dcterms:created>
  <dc:creator>Administrator</dc:creator>
  <cp:lastModifiedBy>LJM</cp:lastModifiedBy>
  <cp:lastPrinted>2023-06-15T03:00:00Z</cp:lastPrinted>
  <dcterms:modified xsi:type="dcterms:W3CDTF">2023-12-17T06:47:28Z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33527D62C2A64596A991856B07A33387_13</vt:lpwstr>
  </property>
</Properties>
</file>