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EF20D3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600" w:lineRule="exact"/>
        <w:ind w:left="0" w:right="0"/>
        <w:jc w:val="both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附件8</w:t>
      </w:r>
    </w:p>
    <w:p w14:paraId="15D594A3">
      <w:pPr>
        <w:pStyle w:val="2"/>
        <w:rPr>
          <w:rFonts w:hint="eastAsia"/>
        </w:rPr>
      </w:pPr>
    </w:p>
    <w:p w14:paraId="5AD3792D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600" w:lineRule="exact"/>
        <w:ind w:left="0" w:right="0"/>
        <w:jc w:val="center"/>
        <w:rPr>
          <w:rFonts w:hint="eastAsia" w:ascii="方正小标宋简体" w:hAnsi="宋体" w:eastAsia="方正小标宋简体" w:cs="方正小标宋简体"/>
          <w:color w:val="000000"/>
          <w:sz w:val="44"/>
          <w:szCs w:val="44"/>
          <w:lang w:val="en-US"/>
        </w:rPr>
      </w:pPr>
      <w:r>
        <w:rPr>
          <w:rFonts w:hint="eastAsia" w:ascii="方正小标宋简体" w:hAnsi="宋体" w:eastAsia="方正小标宋简体" w:cs="方正小标宋简体"/>
          <w:color w:val="000000"/>
          <w:kern w:val="2"/>
          <w:sz w:val="44"/>
          <w:szCs w:val="44"/>
          <w:lang w:val="en-US" w:eastAsia="zh-CN" w:bidi="ar"/>
        </w:rPr>
        <w:t>宜宾市事业单位公开招聘工作人员笔试</w:t>
      </w:r>
    </w:p>
    <w:p w14:paraId="070AC48D">
      <w:pPr>
        <w:widowControl/>
        <w:spacing w:line="560" w:lineRule="exact"/>
        <w:jc w:val="center"/>
        <w:rPr>
          <w:rFonts w:ascii="Times New Roman" w:hAnsi="Times New Roman" w:eastAsia="方正小标宋简体"/>
          <w:kern w:val="0"/>
          <w:sz w:val="36"/>
          <w:szCs w:val="36"/>
          <w:lang w:bidi="ar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小学英语科目考试</w:t>
      </w:r>
      <w:r>
        <w:rPr>
          <w:rFonts w:hint="eastAsia" w:ascii="方正小标宋简体" w:eastAsia="方正小标宋简体"/>
          <w:sz w:val="44"/>
          <w:szCs w:val="44"/>
        </w:rPr>
        <w:t>大纲</w:t>
      </w:r>
    </w:p>
    <w:p w14:paraId="01A3A00A">
      <w:pPr>
        <w:spacing w:line="600" w:lineRule="exact"/>
        <w:jc w:val="center"/>
        <w:rPr>
          <w:rFonts w:ascii="Times New Roman" w:hAnsi="Times New Roman" w:eastAsia="方正楷体简体"/>
          <w:sz w:val="28"/>
          <w:szCs w:val="28"/>
        </w:rPr>
      </w:pPr>
      <w:r>
        <w:rPr>
          <w:rFonts w:ascii="Times New Roman" w:hAnsi="Times New Roman" w:eastAsia="方正楷体简体"/>
          <w:sz w:val="28"/>
          <w:szCs w:val="28"/>
        </w:rPr>
        <w:t>（2024年修订）</w:t>
      </w:r>
    </w:p>
    <w:p w14:paraId="469B8720">
      <w:pPr>
        <w:spacing w:line="56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一、考试范围</w:t>
      </w:r>
    </w:p>
    <w:p w14:paraId="29568813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考查应试者对《义务教育英语课程标准（2022年版）》的理解与应用，英语基础知识和基本技能的掌握，小学英语教材教法以及教学技能的应用，考查考生解决小学英语教育教学中实际问题的能力。</w:t>
      </w:r>
    </w:p>
    <w:p w14:paraId="3B69A3ED">
      <w:pPr>
        <w:spacing w:line="56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二、考试形式及试卷结构</w:t>
      </w:r>
    </w:p>
    <w:p w14:paraId="694FAFAE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（一）答卷方式：笔试、闭卷。</w:t>
      </w:r>
    </w:p>
    <w:p w14:paraId="1298EB4C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（二）全卷满分：100分。</w:t>
      </w:r>
    </w:p>
    <w:p w14:paraId="76E37E67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（三）考试时间：120分钟。</w:t>
      </w:r>
    </w:p>
    <w:p w14:paraId="4E671E95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（四）试题难易程度：容易题约占30%，中等难度题约占50%，难题约占20%。</w:t>
      </w:r>
    </w:p>
    <w:p w14:paraId="498AFBD6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（五）题型结构及题量：</w:t>
      </w:r>
    </w:p>
    <w:p w14:paraId="1E5E0A89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判断和多项选择题（包含核心素养、学习活动观，教—学—评一体化，学业质量监测和教学研究与教师培训，以及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val="en-US" w:eastAsia="zh-CN" w:bidi="ar"/>
        </w:rPr>
        <w:t>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教育政策法规等，分值约占10%）；</w:t>
      </w:r>
    </w:p>
    <w:p w14:paraId="3E46A08D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阅读理解（分值约占30%）；</w:t>
      </w:r>
    </w:p>
    <w:p w14:paraId="256E7E7E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完形填空（分值约占20%）；</w:t>
      </w:r>
    </w:p>
    <w:p w14:paraId="5C8092A6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语法填空（分值约占15%）；</w:t>
      </w:r>
    </w:p>
    <w:p w14:paraId="3194941A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书面表达（分值约占25%）。</w:t>
      </w:r>
    </w:p>
    <w:p w14:paraId="38A26C12">
      <w:pPr>
        <w:spacing w:line="56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三、考试内容与分值比例</w:t>
      </w:r>
    </w:p>
    <w:p w14:paraId="63B106DD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（一）《义务教育英语课程标准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2022年版）</w:t>
      </w:r>
      <w:r>
        <w:rPr>
          <w:rFonts w:hint="eastAsia" w:ascii="仿宋_GB2312" w:hAnsi="仿宋_GB2312" w:eastAsia="仿宋_GB2312" w:cs="仿宋_GB2312"/>
          <w:sz w:val="32"/>
          <w:szCs w:val="32"/>
        </w:rPr>
        <w:t>》：分值约占10%。包括：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课程性质、课程理念、课程目标、</w:t>
      </w:r>
      <w:r>
        <w:rPr>
          <w:rFonts w:hint="eastAsia" w:ascii="仿宋_GB2312" w:hAnsi="仿宋_GB2312" w:eastAsia="仿宋_GB2312" w:cs="仿宋_GB2312"/>
          <w:sz w:val="32"/>
          <w:szCs w:val="32"/>
        </w:rPr>
        <w:t>核心素养、课程内容、学业质量、课程实施，新教育政策法规等。</w:t>
      </w:r>
    </w:p>
    <w:p w14:paraId="36CF746B"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（二）学科基础：分值约占85%（其中小学段约占40%，初中段约占45%）：</w:t>
      </w:r>
    </w:p>
    <w:p w14:paraId="602548C7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基础知识：涵盖主题、语篇、语言知识、文化知识、语言技能及学习策略六个要素。</w:t>
      </w:r>
      <w:r>
        <w:rPr>
          <w:rFonts w:hint="eastAsia" w:ascii="仿宋_GB2312" w:hAnsi="仿宋_GB2312" w:eastAsia="仿宋_GB2312" w:cs="仿宋_GB2312"/>
          <w:sz w:val="32"/>
          <w:szCs w:val="32"/>
        </w:rPr>
        <w:t>以及课程一、二级目标要求。</w:t>
      </w:r>
    </w:p>
    <w:p w14:paraId="45316664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语言技能：听、说、读、看、写五项基本技能，视、听、说、唱、演、玩等实用教学技能。</w:t>
      </w:r>
    </w:p>
    <w:p w14:paraId="03A5F1AD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核心素养：包括语言能力、文化意识、思维品质、学习能力四个方面。</w:t>
      </w:r>
    </w:p>
    <w:p w14:paraId="43A12014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（三）职业素养：教材教法、教学技能</w:t>
      </w:r>
      <w:r>
        <w:rPr>
          <w:rFonts w:hint="eastAsia" w:ascii="仿宋_GB2312" w:hAnsi="仿宋_GB2312" w:eastAsia="仿宋_GB2312" w:cs="仿宋_GB2312"/>
          <w:sz w:val="32"/>
          <w:szCs w:val="32"/>
        </w:rPr>
        <w:t>分值约占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5%。</w:t>
      </w:r>
    </w:p>
    <w:p w14:paraId="7FA4D24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YTUzMjUxY2RlOWJmZjc2NWNiMWIwOTA3ZDQ2MWIifQ=="/>
  </w:docVars>
  <w:rsids>
    <w:rsidRoot w:val="00000000"/>
    <w:rsid w:val="6B70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图表目录1"/>
    <w:basedOn w:val="1"/>
    <w:next w:val="1"/>
    <w:qFormat/>
    <w:uiPriority w:val="0"/>
    <w:pPr>
      <w:ind w:left="200" w:leftChars="200" w:hanging="200" w:hangingChars="200"/>
    </w:pPr>
    <w:rPr>
      <w:rFonts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2024-08-20T06:42:33Z</dcterms:created>
  <dc:creator>Administrator</dc:creator>
  <cp:lastModifiedBy>WPS_1649999488</cp:lastModifiedBy>
  <dcterms:modified xsi:type="dcterms:W3CDTF">2024-08-20T06:42:42Z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2052-12.1.0.17142</vt:lpwstr>
  </property>
  <property fmtid="{D5CDD505-2E9C-101B-9397-08002B2CF9AE}" pid="3" name="ICV">
    <vt:lpwstr>4A09DDF543884B78BF18089F7DE6D400_12</vt:lpwstr>
  </property>
</Properties>
</file>