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2022年</w:t>
      </w:r>
      <w:r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  <w:t>徐州淮海国际港务区</w:t>
      </w:r>
      <w:r>
        <w:rPr>
          <w:rFonts w:hint="eastAsia" w:ascii="方正小标宋简体" w:hAnsi="华文中宋" w:eastAsia="方正小标宋简体" w:cs="宋体"/>
          <w:sz w:val="36"/>
          <w:szCs w:val="36"/>
        </w:rPr>
        <w:t>公开招聘教师</w:t>
      </w:r>
    </w:p>
    <w:p>
      <w:pPr>
        <w:spacing w:line="560" w:lineRule="exact"/>
        <w:jc w:val="center"/>
        <w:rPr>
          <w:rFonts w:hint="default" w:ascii="方正小标宋简体" w:hAnsi="华文中宋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考生健康状况报告表</w:t>
      </w:r>
      <w:r>
        <w:rPr>
          <w:rFonts w:hint="eastAsia" w:ascii="方正小标宋简体" w:hAnsi="华文中宋" w:eastAsia="方正小标宋简体" w:cs="宋体"/>
          <w:sz w:val="44"/>
          <w:szCs w:val="44"/>
          <w:lang w:val="en-US" w:eastAsia="zh-CN"/>
        </w:rPr>
        <w:t>及承诺书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进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资格复审地点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时出示供查验，进入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审核组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后交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审核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p>
      <w:pPr>
        <w:spacing w:line="240" w:lineRule="exact"/>
        <w:ind w:right="-130" w:rightChars="-62"/>
        <w:jc w:val="both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省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市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市/区）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班次号：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；到徐时间：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1.“苏康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”“行程卡”为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的考生，不得参加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不按规定提供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小时内核酸检测阴性报告的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应聘人员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.其他防疫要求以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资格复审地点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所在地区最新发布的公告为准，考生应提前了解并确保自己符合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资格复审地点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期间，严格遵守纪律，服从现场工作人员管理及疫情防控工作安排。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应聘人员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2520" w:firstLineChars="9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资格复审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049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DQwOTZkYmFkY2QwNTg0YjdlNWY0N2NmN2Q1MWI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734085"/>
    <w:rsid w:val="061B72FA"/>
    <w:rsid w:val="07AB511C"/>
    <w:rsid w:val="1C090475"/>
    <w:rsid w:val="1C826592"/>
    <w:rsid w:val="2B8919FC"/>
    <w:rsid w:val="39204A7D"/>
    <w:rsid w:val="45036787"/>
    <w:rsid w:val="47AC6FEA"/>
    <w:rsid w:val="53A00BF6"/>
    <w:rsid w:val="54DF0F1D"/>
    <w:rsid w:val="584C0904"/>
    <w:rsid w:val="5D6F5B75"/>
    <w:rsid w:val="61461C69"/>
    <w:rsid w:val="6CA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552</Characters>
  <Lines>4</Lines>
  <Paragraphs>1</Paragraphs>
  <TotalTime>13</TotalTime>
  <ScaleCrop>false</ScaleCrop>
  <LinksUpToDate>false</LinksUpToDate>
  <CharactersWithSpaces>652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with</cp:lastModifiedBy>
  <cp:lastPrinted>2022-06-13T01:51:00Z</cp:lastPrinted>
  <dcterms:modified xsi:type="dcterms:W3CDTF">2022-07-16T01:04:04Z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B78CF6594B364676A1403AB146B7F87A</vt:lpwstr>
  </property>
</Properties>
</file>